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252C" w14:textId="6B15C96C" w:rsidR="00BD44BF" w:rsidRDefault="00B77BF4" w:rsidP="6C1E1576">
      <w:pPr>
        <w:jc w:val="center"/>
        <w:rPr>
          <w:rFonts w:ascii="Calibri" w:hAnsi="Calibri" w:cs="Calibri"/>
          <w:b/>
          <w:bCs/>
          <w:sz w:val="36"/>
          <w:szCs w:val="36"/>
        </w:rPr>
      </w:pPr>
      <w:r w:rsidRPr="542EB95A">
        <w:rPr>
          <w:rFonts w:ascii="Calibri" w:hAnsi="Calibri" w:cs="Calibri"/>
          <w:b/>
          <w:bCs/>
          <w:sz w:val="36"/>
          <w:szCs w:val="36"/>
        </w:rPr>
        <w:t xml:space="preserve">Rehired Annuitant </w:t>
      </w:r>
      <w:r w:rsidR="00043D87" w:rsidRPr="542EB95A">
        <w:rPr>
          <w:rFonts w:ascii="Calibri" w:hAnsi="Calibri" w:cs="Calibri"/>
          <w:b/>
          <w:bCs/>
          <w:sz w:val="36"/>
          <w:szCs w:val="36"/>
        </w:rPr>
        <w:t>Checklist</w:t>
      </w:r>
    </w:p>
    <w:tbl>
      <w:tblPr>
        <w:tblStyle w:val="TableGrid"/>
        <w:tblW w:w="10191" w:type="dxa"/>
        <w:tblLook w:val="04A0" w:firstRow="1" w:lastRow="0" w:firstColumn="1" w:lastColumn="0" w:noHBand="0" w:noVBand="1"/>
      </w:tblPr>
      <w:tblGrid>
        <w:gridCol w:w="5646"/>
        <w:gridCol w:w="4545"/>
      </w:tblGrid>
      <w:tr w:rsidR="00B77BF4" w:rsidRPr="00047DBA" w14:paraId="7D592FD2" w14:textId="77777777" w:rsidTr="000F3CE6">
        <w:tc>
          <w:tcPr>
            <w:tcW w:w="5646" w:type="dxa"/>
            <w:shd w:val="clear" w:color="auto" w:fill="000000" w:themeFill="text1"/>
          </w:tcPr>
          <w:p w14:paraId="2B07EA57" w14:textId="77777777" w:rsidR="00B77BF4" w:rsidRPr="0092635E" w:rsidRDefault="00B77BF4" w:rsidP="00590BAA">
            <w:pPr>
              <w:rPr>
                <w:rFonts w:ascii="Calibri" w:hAnsi="Calibri"/>
                <w:b/>
              </w:rPr>
            </w:pPr>
            <w:r w:rsidRPr="0092635E">
              <w:rPr>
                <w:rFonts w:ascii="Calibri" w:hAnsi="Calibri"/>
                <w:b/>
              </w:rPr>
              <w:t>Employee Information</w:t>
            </w:r>
          </w:p>
        </w:tc>
        <w:tc>
          <w:tcPr>
            <w:tcW w:w="4545" w:type="dxa"/>
            <w:shd w:val="clear" w:color="auto" w:fill="000000" w:themeFill="text1"/>
          </w:tcPr>
          <w:p w14:paraId="69B5C526" w14:textId="77777777" w:rsidR="00B77BF4" w:rsidRPr="00047DBA" w:rsidRDefault="00B77BF4" w:rsidP="00590BAA">
            <w:pPr>
              <w:rPr>
                <w:rFonts w:ascii="Calibri" w:hAnsi="Calibri"/>
              </w:rPr>
            </w:pPr>
          </w:p>
        </w:tc>
      </w:tr>
      <w:tr w:rsidR="00B77BF4" w:rsidRPr="00047DBA" w14:paraId="0BA0A67A" w14:textId="77777777" w:rsidTr="000F3CE6">
        <w:tc>
          <w:tcPr>
            <w:tcW w:w="5646" w:type="dxa"/>
          </w:tcPr>
          <w:p w14:paraId="618C9681" w14:textId="77777777" w:rsidR="00B77BF4" w:rsidRPr="00047DBA" w:rsidRDefault="00B77BF4" w:rsidP="007D6E2C">
            <w:pPr>
              <w:spacing w:line="276" w:lineRule="auto"/>
              <w:rPr>
                <w:rFonts w:ascii="Calibri" w:hAnsi="Calibri"/>
              </w:rPr>
            </w:pPr>
            <w:r w:rsidRPr="00047DBA">
              <w:rPr>
                <w:rFonts w:ascii="Calibri" w:hAnsi="Calibri"/>
              </w:rPr>
              <w:t>Employee Name:</w:t>
            </w:r>
          </w:p>
        </w:tc>
        <w:tc>
          <w:tcPr>
            <w:tcW w:w="4545" w:type="dxa"/>
          </w:tcPr>
          <w:p w14:paraId="6976BF95" w14:textId="77777777" w:rsidR="00B77BF4" w:rsidRPr="00047DBA" w:rsidRDefault="00B77BF4" w:rsidP="007D6E2C">
            <w:pPr>
              <w:spacing w:line="276" w:lineRule="auto"/>
              <w:rPr>
                <w:rFonts w:ascii="Calibri" w:hAnsi="Calibri"/>
              </w:rPr>
            </w:pPr>
            <w:proofErr w:type="spellStart"/>
            <w:r w:rsidRPr="00047DBA">
              <w:rPr>
                <w:rFonts w:ascii="Calibri" w:hAnsi="Calibri"/>
              </w:rPr>
              <w:t>Empl</w:t>
            </w:r>
            <w:proofErr w:type="spellEnd"/>
            <w:r w:rsidRPr="00047DBA">
              <w:rPr>
                <w:rFonts w:ascii="Calibri" w:hAnsi="Calibri"/>
              </w:rPr>
              <w:t xml:space="preserve"> ID:</w:t>
            </w:r>
          </w:p>
        </w:tc>
      </w:tr>
      <w:tr w:rsidR="00B77BF4" w:rsidRPr="00047DBA" w14:paraId="3104A562" w14:textId="77777777" w:rsidTr="000F3CE6">
        <w:tc>
          <w:tcPr>
            <w:tcW w:w="5646" w:type="dxa"/>
            <w:vAlign w:val="center"/>
          </w:tcPr>
          <w:p w14:paraId="39156C8C" w14:textId="506D17D1" w:rsidR="00B77BF4" w:rsidRPr="00047DBA" w:rsidRDefault="542EB95A" w:rsidP="007D6E2C">
            <w:pPr>
              <w:spacing w:line="276" w:lineRule="auto"/>
              <w:rPr>
                <w:rFonts w:ascii="Calibri" w:hAnsi="Calibri"/>
              </w:rPr>
            </w:pPr>
            <w:r w:rsidRPr="542EB95A">
              <w:rPr>
                <w:rFonts w:ascii="Calibri" w:hAnsi="Calibri"/>
              </w:rPr>
              <w:t xml:space="preserve">WRS Termination Date: </w:t>
            </w:r>
          </w:p>
        </w:tc>
        <w:tc>
          <w:tcPr>
            <w:tcW w:w="4545" w:type="dxa"/>
            <w:vAlign w:val="center"/>
          </w:tcPr>
          <w:p w14:paraId="05F20709" w14:textId="5010F7FD" w:rsidR="00B77BF4" w:rsidRPr="00047DBA" w:rsidRDefault="00B73355" w:rsidP="007D6E2C">
            <w:pPr>
              <w:spacing w:line="276" w:lineRule="auto"/>
              <w:rPr>
                <w:rFonts w:ascii="Calibri" w:hAnsi="Calibri"/>
              </w:rPr>
            </w:pPr>
            <w:r w:rsidRPr="00047DBA">
              <w:rPr>
                <w:rFonts w:ascii="Calibri" w:hAnsi="Calibri"/>
              </w:rPr>
              <w:t>Title:</w:t>
            </w:r>
          </w:p>
        </w:tc>
      </w:tr>
      <w:tr w:rsidR="00B73355" w:rsidRPr="00047DBA" w14:paraId="5087BAA3" w14:textId="77777777" w:rsidTr="000F3CE6">
        <w:tc>
          <w:tcPr>
            <w:tcW w:w="5646" w:type="dxa"/>
          </w:tcPr>
          <w:p w14:paraId="2D1F46A7" w14:textId="5FBF7CFB" w:rsidR="00B73355" w:rsidRPr="00047DBA" w:rsidRDefault="00B73355" w:rsidP="00B73355">
            <w:pPr>
              <w:spacing w:line="276" w:lineRule="auto"/>
              <w:rPr>
                <w:rFonts w:ascii="Calibri" w:hAnsi="Calibri"/>
              </w:rPr>
            </w:pPr>
            <w:r w:rsidRPr="00047DBA">
              <w:rPr>
                <w:rFonts w:ascii="Calibri" w:hAnsi="Calibri"/>
              </w:rPr>
              <w:t>PVL #:</w:t>
            </w:r>
          </w:p>
        </w:tc>
        <w:tc>
          <w:tcPr>
            <w:tcW w:w="4545" w:type="dxa"/>
          </w:tcPr>
          <w:p w14:paraId="23E62E37" w14:textId="00D6617A" w:rsidR="00B73355" w:rsidRPr="00047DBA" w:rsidRDefault="00B73355" w:rsidP="00B73355">
            <w:pPr>
              <w:spacing w:line="276" w:lineRule="auto"/>
              <w:rPr>
                <w:rFonts w:ascii="Calibri" w:hAnsi="Calibri"/>
              </w:rPr>
            </w:pPr>
            <w:r w:rsidRPr="00047DBA">
              <w:rPr>
                <w:rFonts w:ascii="Calibri" w:hAnsi="Calibri"/>
              </w:rPr>
              <w:t>Department:</w:t>
            </w:r>
          </w:p>
        </w:tc>
      </w:tr>
      <w:tr w:rsidR="00B73355" w:rsidRPr="00047DBA" w14:paraId="31661CCC" w14:textId="77777777" w:rsidTr="000F3CE6">
        <w:tc>
          <w:tcPr>
            <w:tcW w:w="5646" w:type="dxa"/>
          </w:tcPr>
          <w:p w14:paraId="020FE413" w14:textId="2CBEBA1F" w:rsidR="00B73355" w:rsidRPr="00047DBA" w:rsidRDefault="00B73355" w:rsidP="00B73355">
            <w:pPr>
              <w:spacing w:line="276" w:lineRule="auto"/>
              <w:rPr>
                <w:rFonts w:ascii="Calibri" w:hAnsi="Calibri"/>
              </w:rPr>
            </w:pPr>
            <w:r w:rsidRPr="00047DBA">
              <w:rPr>
                <w:rFonts w:ascii="Calibri" w:hAnsi="Calibri"/>
              </w:rPr>
              <w:t>UDDS:</w:t>
            </w:r>
          </w:p>
        </w:tc>
        <w:tc>
          <w:tcPr>
            <w:tcW w:w="4545" w:type="dxa"/>
          </w:tcPr>
          <w:p w14:paraId="36AD4CBF" w14:textId="068A714C" w:rsidR="00B73355" w:rsidRPr="00047DBA" w:rsidRDefault="00B73355" w:rsidP="00B73355">
            <w:pPr>
              <w:spacing w:line="276" w:lineRule="auto"/>
              <w:rPr>
                <w:rFonts w:ascii="Calibri" w:hAnsi="Calibri"/>
              </w:rPr>
            </w:pPr>
            <w:r w:rsidRPr="00047DBA">
              <w:rPr>
                <w:rFonts w:ascii="Calibri" w:hAnsi="Calibri"/>
              </w:rPr>
              <w:t>Effective Date:</w:t>
            </w:r>
          </w:p>
        </w:tc>
      </w:tr>
      <w:tr w:rsidR="00B73355" w:rsidRPr="00047DBA" w14:paraId="501B96A5" w14:textId="77777777" w:rsidTr="000F3CE6">
        <w:tc>
          <w:tcPr>
            <w:tcW w:w="5646" w:type="dxa"/>
          </w:tcPr>
          <w:p w14:paraId="001AC032" w14:textId="3DDD1AE3" w:rsidR="00B73355" w:rsidRPr="00047DBA" w:rsidRDefault="00EE9A34" w:rsidP="00D45814">
            <w:pPr>
              <w:spacing w:after="200" w:line="276" w:lineRule="auto"/>
              <w:rPr>
                <w:rFonts w:ascii="Calibri" w:hAnsi="Calibri"/>
              </w:rPr>
            </w:pPr>
            <w:r w:rsidRPr="00EE9A34">
              <w:rPr>
                <w:rFonts w:ascii="Calibri" w:hAnsi="Calibri"/>
              </w:rPr>
              <w:t xml:space="preserve">Select All that Apply: </w:t>
            </w:r>
          </w:p>
          <w:p w14:paraId="356B8DAF" w14:textId="3D29B393" w:rsidR="00B73355" w:rsidRPr="00047DBA" w:rsidRDefault="00EE9A34" w:rsidP="00D45814">
            <w:pPr>
              <w:spacing w:line="276" w:lineRule="auto"/>
              <w:rPr>
                <w:rFonts w:ascii="Calibri" w:hAnsi="Calibri"/>
              </w:rPr>
            </w:pPr>
            <w:r w:rsidRPr="00EE9A34">
              <w:rPr>
                <w:rFonts w:ascii="MS Gothic" w:eastAsia="MS Gothic" w:hAnsi="MS Gothic"/>
                <w:sz w:val="28"/>
                <w:szCs w:val="28"/>
              </w:rPr>
              <w:t>☐</w:t>
            </w:r>
            <w:r w:rsidRPr="00EE9A34">
              <w:rPr>
                <w:rFonts w:ascii="Calibri" w:hAnsi="Calibri"/>
              </w:rPr>
              <w:t xml:space="preserve"> New Hire       </w:t>
            </w:r>
            <w:r w:rsidRPr="00EE9A34">
              <w:rPr>
                <w:rFonts w:ascii="MS Gothic" w:eastAsia="MS Gothic" w:hAnsi="MS Gothic"/>
                <w:sz w:val="28"/>
                <w:szCs w:val="28"/>
              </w:rPr>
              <w:t>☐</w:t>
            </w:r>
            <w:r w:rsidRPr="00EE9A34">
              <w:rPr>
                <w:rFonts w:ascii="Calibri" w:hAnsi="Calibri"/>
              </w:rPr>
              <w:t xml:space="preserve"> EJED change      </w:t>
            </w:r>
            <w:r w:rsidRPr="00EE9A34">
              <w:rPr>
                <w:rFonts w:ascii="MS Gothic" w:eastAsia="MS Gothic" w:hAnsi="MS Gothic"/>
                <w:sz w:val="28"/>
                <w:szCs w:val="28"/>
              </w:rPr>
              <w:t>☐</w:t>
            </w:r>
            <w:r w:rsidRPr="00EE9A34">
              <w:rPr>
                <w:rFonts w:ascii="Calibri" w:hAnsi="Calibri"/>
              </w:rPr>
              <w:t xml:space="preserve"> FTE change</w:t>
            </w:r>
          </w:p>
        </w:tc>
        <w:tc>
          <w:tcPr>
            <w:tcW w:w="4545" w:type="dxa"/>
          </w:tcPr>
          <w:p w14:paraId="7A2748AA" w14:textId="2B951B85" w:rsidR="00B73355" w:rsidRPr="00047DBA" w:rsidRDefault="00B73355" w:rsidP="00B73355">
            <w:pPr>
              <w:spacing w:line="276" w:lineRule="auto"/>
              <w:rPr>
                <w:rFonts w:ascii="Calibri" w:hAnsi="Calibri"/>
              </w:rPr>
            </w:pPr>
          </w:p>
        </w:tc>
      </w:tr>
    </w:tbl>
    <w:p w14:paraId="2E3EEDCD" w14:textId="77777777" w:rsidR="00B77BF4" w:rsidRDefault="00B77BF4" w:rsidP="00B77BF4">
      <w:pPr>
        <w:pStyle w:val="NoSpacing"/>
      </w:pPr>
    </w:p>
    <w:tbl>
      <w:tblPr>
        <w:tblStyle w:val="TableGrid"/>
        <w:tblW w:w="10368" w:type="dxa"/>
        <w:tblLook w:val="04A0" w:firstRow="1" w:lastRow="0" w:firstColumn="1" w:lastColumn="0" w:noHBand="0" w:noVBand="1"/>
      </w:tblPr>
      <w:tblGrid>
        <w:gridCol w:w="828"/>
        <w:gridCol w:w="7740"/>
        <w:gridCol w:w="1800"/>
      </w:tblGrid>
      <w:tr w:rsidR="00B77BF4" w:rsidRPr="00DA64D2" w14:paraId="7EF5A791" w14:textId="77777777" w:rsidTr="158DD7C6">
        <w:trPr>
          <w:tblHeader/>
        </w:trPr>
        <w:tc>
          <w:tcPr>
            <w:tcW w:w="828" w:type="dxa"/>
            <w:shd w:val="clear" w:color="auto" w:fill="000000" w:themeFill="text1"/>
          </w:tcPr>
          <w:p w14:paraId="3B3CD987" w14:textId="77777777" w:rsidR="00B77BF4" w:rsidRPr="00DA64D2" w:rsidRDefault="00B77BF4"/>
        </w:tc>
        <w:tc>
          <w:tcPr>
            <w:tcW w:w="7740" w:type="dxa"/>
            <w:shd w:val="clear" w:color="auto" w:fill="000000" w:themeFill="text1"/>
          </w:tcPr>
          <w:p w14:paraId="2871EB15" w14:textId="78B081C9" w:rsidR="00B77BF4" w:rsidRPr="00B77BF4" w:rsidRDefault="00B77BF4">
            <w:pPr>
              <w:rPr>
                <w:b/>
                <w:bCs/>
              </w:rPr>
            </w:pPr>
            <w:r w:rsidRPr="00B77BF4">
              <w:rPr>
                <w:b/>
                <w:bCs/>
              </w:rPr>
              <w:t>Task</w:t>
            </w:r>
          </w:p>
        </w:tc>
        <w:tc>
          <w:tcPr>
            <w:tcW w:w="1800" w:type="dxa"/>
            <w:shd w:val="clear" w:color="auto" w:fill="000000" w:themeFill="text1"/>
          </w:tcPr>
          <w:p w14:paraId="355452B5" w14:textId="26AC5C18" w:rsidR="00B77BF4" w:rsidRPr="00B77BF4" w:rsidRDefault="00B77BF4">
            <w:pPr>
              <w:rPr>
                <w:b/>
                <w:bCs/>
              </w:rPr>
            </w:pPr>
            <w:r w:rsidRPr="00B77BF4">
              <w:rPr>
                <w:b/>
                <w:bCs/>
              </w:rPr>
              <w:t>Notes</w:t>
            </w:r>
          </w:p>
        </w:tc>
      </w:tr>
      <w:tr w:rsidR="00B77BF4" w:rsidRPr="00DA64D2" w14:paraId="52636A06" w14:textId="77777777" w:rsidTr="158DD7C6">
        <w:tc>
          <w:tcPr>
            <w:tcW w:w="828" w:type="dxa"/>
          </w:tcPr>
          <w:p w14:paraId="422DE1F0" w14:textId="04206310" w:rsidR="00B77BF4" w:rsidRDefault="00B77BF4" w:rsidP="00B77BF4">
            <w:pPr>
              <w:jc w:val="center"/>
              <w:rPr>
                <w:rFonts w:ascii="MS Gothic" w:eastAsia="MS Gothic" w:hAnsi="MS Gothic"/>
                <w:sz w:val="28"/>
                <w:szCs w:val="28"/>
              </w:rPr>
            </w:pPr>
            <w:r>
              <w:t>FYI</w:t>
            </w:r>
          </w:p>
        </w:tc>
        <w:tc>
          <w:tcPr>
            <w:tcW w:w="7740" w:type="dxa"/>
          </w:tcPr>
          <w:p w14:paraId="5C5043A9" w14:textId="4A6CA61C" w:rsidR="00B77BF4" w:rsidRDefault="00B77BF4">
            <w:r>
              <w:t xml:space="preserve">See more detailed information on Rehired Annuitants in the </w:t>
            </w:r>
            <w:hyperlink w:anchor="Resources" w:history="1">
              <w:r w:rsidRPr="00B77BF4">
                <w:rPr>
                  <w:rStyle w:val="Hyperlink"/>
                </w:rPr>
                <w:t>Resources</w:t>
              </w:r>
            </w:hyperlink>
            <w:r>
              <w:t xml:space="preserve"> section </w:t>
            </w:r>
          </w:p>
          <w:p w14:paraId="75419A03" w14:textId="48ED8D3D" w:rsidR="00B77BF4" w:rsidRDefault="00B77BF4"/>
        </w:tc>
        <w:tc>
          <w:tcPr>
            <w:tcW w:w="1800" w:type="dxa"/>
          </w:tcPr>
          <w:p w14:paraId="70BE5F85" w14:textId="77777777" w:rsidR="00B77BF4" w:rsidRPr="00DA64D2" w:rsidRDefault="00B77BF4"/>
        </w:tc>
      </w:tr>
      <w:tr w:rsidR="00AF19E8" w:rsidRPr="00DA64D2" w14:paraId="5D40BEEC" w14:textId="77777777" w:rsidTr="158DD7C6">
        <w:tc>
          <w:tcPr>
            <w:tcW w:w="828" w:type="dxa"/>
          </w:tcPr>
          <w:p w14:paraId="6424F7F4" w14:textId="665D4A9B" w:rsidR="00AF19E8" w:rsidRPr="00DA64D2" w:rsidRDefault="00AF19E8" w:rsidP="00B77BF4">
            <w:pPr>
              <w:jc w:val="center"/>
            </w:pPr>
          </w:p>
        </w:tc>
        <w:tc>
          <w:tcPr>
            <w:tcW w:w="7740" w:type="dxa"/>
          </w:tcPr>
          <w:p w14:paraId="0FB5D919" w14:textId="77777777" w:rsidR="00AF19E8" w:rsidRDefault="00AF19E8" w:rsidP="00232410"/>
        </w:tc>
        <w:tc>
          <w:tcPr>
            <w:tcW w:w="1800" w:type="dxa"/>
          </w:tcPr>
          <w:p w14:paraId="4E563BCB" w14:textId="77777777" w:rsidR="00AF19E8" w:rsidRPr="00DA64D2" w:rsidRDefault="00AF19E8"/>
        </w:tc>
      </w:tr>
      <w:tr w:rsidR="00EE9A34" w14:paraId="16769DD0" w14:textId="77777777" w:rsidTr="158DD7C6">
        <w:tc>
          <w:tcPr>
            <w:tcW w:w="828" w:type="dxa"/>
          </w:tcPr>
          <w:p w14:paraId="3E6CF2D9" w14:textId="70546B4C" w:rsidR="00EE9A34" w:rsidRDefault="2D8C9460" w:rsidP="00EE9A34">
            <w:pPr>
              <w:jc w:val="center"/>
            </w:pPr>
            <w:r w:rsidRPr="2D8C9460">
              <w:rPr>
                <w:rFonts w:ascii="MS Gothic" w:eastAsia="MS Gothic" w:hAnsi="MS Gothic"/>
                <w:sz w:val="28"/>
                <w:szCs w:val="28"/>
              </w:rPr>
              <w:t>☐</w:t>
            </w:r>
          </w:p>
          <w:p w14:paraId="774BF6A8" w14:textId="3BF20EEE" w:rsidR="00EE9A34" w:rsidRDefault="00EE9A34" w:rsidP="2D8C9460">
            <w:pPr>
              <w:jc w:val="center"/>
              <w:rPr>
                <w:rFonts w:ascii="MS Gothic" w:eastAsia="MS Gothic" w:hAnsi="MS Gothic"/>
                <w:sz w:val="28"/>
                <w:szCs w:val="28"/>
              </w:rPr>
            </w:pPr>
          </w:p>
        </w:tc>
        <w:tc>
          <w:tcPr>
            <w:tcW w:w="7740" w:type="dxa"/>
          </w:tcPr>
          <w:p w14:paraId="48EDE01A" w14:textId="5742AE03" w:rsidR="00EE9A34" w:rsidRDefault="00EE9A34" w:rsidP="00D45814">
            <w:r>
              <w:t xml:space="preserve">Candidate’s WRS termination date is </w:t>
            </w:r>
            <w:r w:rsidRPr="00EE9A34">
              <w:rPr>
                <w:b/>
                <w:bCs/>
              </w:rPr>
              <w:t>prior to</w:t>
            </w:r>
            <w:r>
              <w:t xml:space="preserve"> July 2, 2013 </w:t>
            </w:r>
          </w:p>
          <w:p w14:paraId="5F40DD77" w14:textId="46C98AFE" w:rsidR="00EE9A34" w:rsidRDefault="2D8C9460" w:rsidP="2D8C9460">
            <w:pPr>
              <w:pStyle w:val="ListParagraph"/>
              <w:numPr>
                <w:ilvl w:val="0"/>
                <w:numId w:val="18"/>
              </w:numPr>
            </w:pPr>
            <w:r>
              <w:t>Confirm candidate is receiving a monthly WRS annuity</w:t>
            </w:r>
          </w:p>
          <w:p w14:paraId="40B37190" w14:textId="41B24A13" w:rsidR="00EE9A34" w:rsidRDefault="2D8C9460" w:rsidP="2D8C9460">
            <w:pPr>
              <w:pStyle w:val="ListParagraph"/>
              <w:numPr>
                <w:ilvl w:val="0"/>
                <w:numId w:val="18"/>
              </w:numPr>
              <w:rPr>
                <w:i/>
                <w:iCs/>
                <w:sz w:val="20"/>
                <w:szCs w:val="20"/>
              </w:rPr>
            </w:pPr>
            <w:r w:rsidRPr="2D8C9460">
              <w:rPr>
                <w:i/>
                <w:iCs/>
                <w:sz w:val="20"/>
                <w:szCs w:val="20"/>
              </w:rPr>
              <w:t xml:space="preserve">Note: If an individual received a lump sum retirement benefit, they are NOT considered a rehired annuitant. </w:t>
            </w:r>
          </w:p>
          <w:p w14:paraId="4CF5539B" w14:textId="085FC05E" w:rsidR="00EE9A34" w:rsidRDefault="2D8C9460" w:rsidP="2D8C9460">
            <w:pPr>
              <w:pStyle w:val="ListParagraph"/>
              <w:numPr>
                <w:ilvl w:val="0"/>
                <w:numId w:val="18"/>
              </w:numPr>
              <w:rPr>
                <w:i/>
                <w:iCs/>
                <w:sz w:val="20"/>
                <w:szCs w:val="20"/>
              </w:rPr>
            </w:pPr>
            <w:r w:rsidRPr="2D8C9460">
              <w:rPr>
                <w:sz w:val="20"/>
                <w:szCs w:val="20"/>
              </w:rPr>
              <w:t>Minimum break in service requirement has been met</w:t>
            </w:r>
            <w:r w:rsidRPr="2D8C9460">
              <w:rPr>
                <w:i/>
                <w:iCs/>
                <w:color w:val="FF0000"/>
                <w:sz w:val="20"/>
                <w:szCs w:val="20"/>
              </w:rPr>
              <w:t>.</w:t>
            </w:r>
          </w:p>
          <w:p w14:paraId="69D26D17" w14:textId="0881F604" w:rsidR="00EE9A34" w:rsidRDefault="00EE9A34" w:rsidP="00EE9A34"/>
        </w:tc>
        <w:tc>
          <w:tcPr>
            <w:tcW w:w="1800" w:type="dxa"/>
          </w:tcPr>
          <w:p w14:paraId="3EB82453" w14:textId="52E519AF" w:rsidR="00EE9A34" w:rsidRDefault="00EE9A34" w:rsidP="00EE9A34"/>
        </w:tc>
      </w:tr>
      <w:tr w:rsidR="00EE9A34" w14:paraId="2EEABFCA" w14:textId="77777777" w:rsidTr="158DD7C6">
        <w:tc>
          <w:tcPr>
            <w:tcW w:w="828" w:type="dxa"/>
          </w:tcPr>
          <w:p w14:paraId="21C34171" w14:textId="70546B4C" w:rsidR="00EE9A34" w:rsidRDefault="2D8C9460" w:rsidP="00EE9A34">
            <w:pPr>
              <w:jc w:val="center"/>
            </w:pPr>
            <w:r w:rsidRPr="2D8C9460">
              <w:rPr>
                <w:rFonts w:ascii="MS Gothic" w:eastAsia="MS Gothic" w:hAnsi="MS Gothic"/>
                <w:sz w:val="28"/>
                <w:szCs w:val="28"/>
              </w:rPr>
              <w:t>☐</w:t>
            </w:r>
          </w:p>
          <w:p w14:paraId="1ECDEF67" w14:textId="21EEA357" w:rsidR="00EE9A34" w:rsidRDefault="00EE9A34" w:rsidP="2D8C9460">
            <w:pPr>
              <w:jc w:val="center"/>
              <w:rPr>
                <w:rFonts w:ascii="MS Gothic" w:eastAsia="MS Gothic" w:hAnsi="MS Gothic"/>
                <w:sz w:val="28"/>
                <w:szCs w:val="28"/>
              </w:rPr>
            </w:pPr>
          </w:p>
        </w:tc>
        <w:tc>
          <w:tcPr>
            <w:tcW w:w="7740" w:type="dxa"/>
          </w:tcPr>
          <w:p w14:paraId="411BF387" w14:textId="2BD759E3" w:rsidR="00EE9A34" w:rsidRDefault="00EE9A34" w:rsidP="00D45814">
            <w:r>
              <w:t xml:space="preserve">Candidate’s WRS termination date is </w:t>
            </w:r>
            <w:r w:rsidRPr="00EE9A34">
              <w:rPr>
                <w:b/>
                <w:bCs/>
              </w:rPr>
              <w:t>on or after</w:t>
            </w:r>
            <w:r>
              <w:t xml:space="preserve"> July 2, 2013</w:t>
            </w:r>
          </w:p>
          <w:p w14:paraId="02F5CAEA" w14:textId="77777777" w:rsidR="00EE9A34" w:rsidRDefault="2D8C9460" w:rsidP="00EE9A34">
            <w:pPr>
              <w:pStyle w:val="ListParagraph"/>
              <w:numPr>
                <w:ilvl w:val="0"/>
                <w:numId w:val="18"/>
              </w:numPr>
            </w:pPr>
            <w:r>
              <w:t>Confirm candidate is receiving a monthly WRS annuity</w:t>
            </w:r>
          </w:p>
          <w:p w14:paraId="485F3FD3" w14:textId="1D79CD9A" w:rsidR="00EE9A34" w:rsidRPr="00D01A5A" w:rsidRDefault="00EE9A34" w:rsidP="00EE9A34">
            <w:pPr>
              <w:pStyle w:val="ListParagraph"/>
              <w:numPr>
                <w:ilvl w:val="0"/>
                <w:numId w:val="18"/>
              </w:numPr>
            </w:pPr>
            <w:r w:rsidRPr="00EE9A34">
              <w:rPr>
                <w:i/>
                <w:iCs/>
                <w:sz w:val="20"/>
                <w:szCs w:val="20"/>
              </w:rPr>
              <w:t xml:space="preserve">Note: If an individual received a lump sum retirement benefit, they are NOT considered a rehired annuitant. However, you still need </w:t>
            </w:r>
            <w:r w:rsidRPr="00D01A5A">
              <w:rPr>
                <w:i/>
                <w:iCs/>
                <w:sz w:val="20"/>
                <w:szCs w:val="20"/>
              </w:rPr>
              <w:t>to review the minimum break in service requirement to ensure that the lump sum benefit is valid.  If minimum break has not been met, the employee would need to repay the lump sum benefit.</w:t>
            </w:r>
          </w:p>
          <w:p w14:paraId="34AF58E9" w14:textId="1D902FA2" w:rsidR="00EE9A34" w:rsidRPr="00D01A5A" w:rsidRDefault="00EE9A34" w:rsidP="00EE9A34">
            <w:pPr>
              <w:pStyle w:val="ListParagraph"/>
              <w:numPr>
                <w:ilvl w:val="0"/>
                <w:numId w:val="18"/>
              </w:numPr>
              <w:rPr>
                <w:i/>
                <w:iCs/>
              </w:rPr>
            </w:pPr>
            <w:r>
              <w:t xml:space="preserve">Will candidate have served the 75 days break in service? (See </w:t>
            </w:r>
            <w:r w:rsidRPr="00EE9A34">
              <w:rPr>
                <w:b/>
                <w:bCs/>
              </w:rPr>
              <w:t xml:space="preserve">Valid Termination and Minimum Required </w:t>
            </w:r>
            <w:proofErr w:type="gramStart"/>
            <w:r w:rsidRPr="00EE9A34">
              <w:rPr>
                <w:b/>
                <w:bCs/>
              </w:rPr>
              <w:t xml:space="preserve">Break)  </w:t>
            </w:r>
            <w:r w:rsidR="00766199">
              <w:rPr>
                <w:rStyle w:val="normaltextrun"/>
                <w:rFonts w:ascii="MS Gothic" w:eastAsia="MS Gothic" w:hAnsi="MS Gothic" w:hint="eastAsia"/>
                <w:color w:val="881798"/>
                <w:sz w:val="28"/>
                <w:szCs w:val="28"/>
                <w:bdr w:val="none" w:sz="0" w:space="0" w:color="auto" w:frame="1"/>
              </w:rPr>
              <w:t>☐</w:t>
            </w:r>
            <w:proofErr w:type="gramEnd"/>
            <w:r w:rsidRPr="00EE9A34">
              <w:rPr>
                <w:b/>
                <w:bCs/>
              </w:rPr>
              <w:t xml:space="preserve">YES </w:t>
            </w:r>
            <w:r w:rsidR="000B198A">
              <w:rPr>
                <w:b/>
                <w:bCs/>
              </w:rPr>
              <w:t xml:space="preserve">  </w:t>
            </w:r>
            <w:r w:rsidRPr="00EE9A34">
              <w:rPr>
                <w:b/>
                <w:bCs/>
              </w:rPr>
              <w:t xml:space="preserve"> </w:t>
            </w:r>
            <w:r w:rsidR="00766199">
              <w:rPr>
                <w:rStyle w:val="normaltextrun"/>
                <w:rFonts w:ascii="MS Gothic" w:eastAsia="MS Gothic" w:hAnsi="MS Gothic" w:hint="eastAsia"/>
                <w:color w:val="881798"/>
                <w:sz w:val="28"/>
                <w:szCs w:val="28"/>
                <w:bdr w:val="none" w:sz="0" w:space="0" w:color="auto" w:frame="1"/>
              </w:rPr>
              <w:t>☐</w:t>
            </w:r>
            <w:r w:rsidRPr="00EE9A34">
              <w:rPr>
                <w:b/>
                <w:bCs/>
              </w:rPr>
              <w:t>NO</w:t>
            </w:r>
          </w:p>
          <w:p w14:paraId="371AE197" w14:textId="6E5377BB" w:rsidR="00EE9A34" w:rsidRPr="00D01A5A" w:rsidRDefault="00EE9A34" w:rsidP="00D01A5A">
            <w:pPr>
              <w:pStyle w:val="ListParagraph"/>
              <w:numPr>
                <w:ilvl w:val="0"/>
                <w:numId w:val="18"/>
              </w:numPr>
              <w:rPr>
                <w:i/>
                <w:iCs/>
              </w:rPr>
            </w:pPr>
            <w:r w:rsidRPr="00D01A5A">
              <w:t>I</w:t>
            </w:r>
            <w:r>
              <w:t>f retirement would be considered invalid or candidate would be compelled to suspend retirement, counsel candidate.</w:t>
            </w:r>
          </w:p>
          <w:p w14:paraId="2D100ADA" w14:textId="6B3EC145" w:rsidR="00EE9A34" w:rsidRDefault="00EE9A34" w:rsidP="00EE9A34"/>
        </w:tc>
        <w:tc>
          <w:tcPr>
            <w:tcW w:w="1800" w:type="dxa"/>
          </w:tcPr>
          <w:p w14:paraId="5D08C913" w14:textId="61EBD0F2" w:rsidR="00EE9A34" w:rsidRDefault="00EE9A34" w:rsidP="00EE9A34"/>
        </w:tc>
      </w:tr>
      <w:tr w:rsidR="000B62BC" w:rsidRPr="00DA64D2" w14:paraId="4CFB1680" w14:textId="77777777" w:rsidTr="158DD7C6">
        <w:tc>
          <w:tcPr>
            <w:tcW w:w="828" w:type="dxa"/>
          </w:tcPr>
          <w:p w14:paraId="76DF6470" w14:textId="70546B4C" w:rsidR="000B62BC" w:rsidRPr="00C23738" w:rsidRDefault="542EB95A" w:rsidP="00B77BF4">
            <w:pPr>
              <w:jc w:val="center"/>
            </w:pPr>
            <w:r w:rsidRPr="542EB95A">
              <w:rPr>
                <w:rFonts w:ascii="MS Gothic" w:eastAsia="MS Gothic" w:hAnsi="MS Gothic"/>
                <w:sz w:val="28"/>
                <w:szCs w:val="28"/>
              </w:rPr>
              <w:t>☐</w:t>
            </w:r>
          </w:p>
          <w:p w14:paraId="684F323D" w14:textId="50686A21" w:rsidR="000B62BC" w:rsidRPr="00C23738" w:rsidRDefault="000B62BC" w:rsidP="542EB95A">
            <w:pPr>
              <w:jc w:val="center"/>
              <w:rPr>
                <w:rFonts w:ascii="MS Gothic" w:eastAsia="MS Gothic" w:hAnsi="MS Gothic"/>
                <w:sz w:val="28"/>
                <w:szCs w:val="28"/>
              </w:rPr>
            </w:pPr>
          </w:p>
        </w:tc>
        <w:tc>
          <w:tcPr>
            <w:tcW w:w="7740" w:type="dxa"/>
          </w:tcPr>
          <w:p w14:paraId="2C6EE5A6" w14:textId="738DADC3" w:rsidR="3B699DE7" w:rsidRDefault="57B6EB10" w:rsidP="3B699DE7">
            <w:pPr>
              <w:spacing w:after="200" w:line="276" w:lineRule="auto"/>
            </w:pPr>
            <w:r>
              <w:t xml:space="preserve">Confirm pay rate conforms to Policy: </w:t>
            </w:r>
            <w:hyperlink r:id="rId8" w:history="1">
              <w:r w:rsidRPr="57B6EB10">
                <w:rPr>
                  <w:rStyle w:val="Hyperlink"/>
                </w:rPr>
                <w:t>10.03 Compensation Structure and Pay Upon Appointment</w:t>
              </w:r>
            </w:hyperlink>
          </w:p>
          <w:p w14:paraId="41474BE4" w14:textId="198D6EA4" w:rsidR="000B62BC" w:rsidRPr="000B62BC" w:rsidRDefault="000B62BC" w:rsidP="00EE9A34"/>
        </w:tc>
        <w:tc>
          <w:tcPr>
            <w:tcW w:w="1800" w:type="dxa"/>
          </w:tcPr>
          <w:p w14:paraId="67373BB9" w14:textId="77777777" w:rsidR="000B62BC" w:rsidRPr="00DA64D2" w:rsidRDefault="000B62BC" w:rsidP="00B77BF4"/>
        </w:tc>
      </w:tr>
      <w:tr w:rsidR="00B77BF4" w:rsidRPr="00DA64D2" w14:paraId="609C2A7B" w14:textId="77777777" w:rsidTr="158DD7C6">
        <w:tc>
          <w:tcPr>
            <w:tcW w:w="828" w:type="dxa"/>
          </w:tcPr>
          <w:p w14:paraId="2B46DD0F" w14:textId="0AB165CF" w:rsidR="00B77BF4" w:rsidRPr="00DA64D2" w:rsidRDefault="00B77BF4" w:rsidP="00B77BF4">
            <w:pPr>
              <w:jc w:val="center"/>
            </w:pPr>
            <w:r w:rsidRPr="00C23738">
              <w:rPr>
                <w:rFonts w:ascii="MS Gothic" w:eastAsia="MS Gothic" w:hAnsi="MS Gothic" w:hint="eastAsia"/>
                <w:sz w:val="28"/>
                <w:szCs w:val="28"/>
              </w:rPr>
              <w:t>☐</w:t>
            </w:r>
          </w:p>
        </w:tc>
        <w:tc>
          <w:tcPr>
            <w:tcW w:w="7740" w:type="dxa"/>
          </w:tcPr>
          <w:p w14:paraId="5C19626D" w14:textId="3955EF02" w:rsidR="00B77BF4" w:rsidRDefault="158DD7C6" w:rsidP="00B77BF4">
            <w:r>
              <w:t>If using the Rehired Retiree waiver reason,</w:t>
            </w:r>
            <w:r w:rsidRPr="158DD7C6">
              <w:rPr>
                <w:i/>
                <w:iCs/>
              </w:rPr>
              <w:t xml:space="preserve"> </w:t>
            </w:r>
            <w:r>
              <w:t xml:space="preserve">review for eligibility: </w:t>
            </w:r>
            <w:hyperlink r:id="rId9">
              <w:r w:rsidRPr="158DD7C6">
                <w:rPr>
                  <w:rStyle w:val="Hyperlink"/>
                </w:rPr>
                <w:t>hr.wisc.edu/docs/recruitment/recruitment-waiver-reasons.pdf</w:t>
              </w:r>
            </w:hyperlink>
            <w:r>
              <w:t xml:space="preserve"> </w:t>
            </w:r>
          </w:p>
          <w:p w14:paraId="33E72C63" w14:textId="7F798220" w:rsidR="540B198C" w:rsidRDefault="540B198C" w:rsidP="540B198C"/>
          <w:p w14:paraId="54E1C4DD" w14:textId="5B565160" w:rsidR="00B77BF4" w:rsidRPr="00DA64D2" w:rsidRDefault="540B198C" w:rsidP="00B77BF4">
            <w:r>
              <w:t xml:space="preserve">For questions on a Rehired Annuitant hired via open recruitment, consult with Talent </w:t>
            </w:r>
            <w:r w:rsidR="00B02D9E">
              <w:t>Acquisition (</w:t>
            </w:r>
            <w:r>
              <w:t xml:space="preserve">TA). </w:t>
            </w:r>
          </w:p>
        </w:tc>
        <w:tc>
          <w:tcPr>
            <w:tcW w:w="1800" w:type="dxa"/>
          </w:tcPr>
          <w:p w14:paraId="744A473F" w14:textId="77777777" w:rsidR="00B77BF4" w:rsidRPr="00DA64D2" w:rsidRDefault="00B77BF4" w:rsidP="00B77BF4"/>
        </w:tc>
      </w:tr>
      <w:tr w:rsidR="00B77BF4" w:rsidRPr="00DA64D2" w14:paraId="091D948C" w14:textId="77777777" w:rsidTr="158DD7C6">
        <w:tc>
          <w:tcPr>
            <w:tcW w:w="828" w:type="dxa"/>
          </w:tcPr>
          <w:p w14:paraId="3A03EB18" w14:textId="2FA1FE7A" w:rsidR="00B77BF4" w:rsidRPr="00DA64D2" w:rsidRDefault="00B77BF4" w:rsidP="00B77BF4">
            <w:pPr>
              <w:jc w:val="center"/>
            </w:pPr>
            <w:r w:rsidRPr="00C23738">
              <w:rPr>
                <w:rFonts w:ascii="MS Gothic" w:eastAsia="MS Gothic" w:hAnsi="MS Gothic" w:hint="eastAsia"/>
                <w:sz w:val="28"/>
                <w:szCs w:val="28"/>
              </w:rPr>
              <w:t>☐</w:t>
            </w:r>
          </w:p>
        </w:tc>
        <w:tc>
          <w:tcPr>
            <w:tcW w:w="7740" w:type="dxa"/>
          </w:tcPr>
          <w:p w14:paraId="135CFA28" w14:textId="333874AF" w:rsidR="00B77BF4" w:rsidRDefault="6C1E1576" w:rsidP="542EB95A">
            <w:r>
              <w:t xml:space="preserve">Ensure applicable Rehired Annuitant language is included in appointment letter. See Rehired Annuitant Offer Letter Template on </w:t>
            </w:r>
            <w:hyperlink r:id="rId10" w:history="1">
              <w:r w:rsidRPr="6C1E1576">
                <w:rPr>
                  <w:rStyle w:val="Hyperlink"/>
                </w:rPr>
                <w:t>Recruitment Toolkit</w:t>
              </w:r>
            </w:hyperlink>
            <w:r>
              <w:t>.</w:t>
            </w:r>
          </w:p>
          <w:p w14:paraId="1457C39A" w14:textId="77777777" w:rsidR="00B77BF4" w:rsidRDefault="00B77BF4" w:rsidP="006C23AA"/>
        </w:tc>
        <w:tc>
          <w:tcPr>
            <w:tcW w:w="1800" w:type="dxa"/>
          </w:tcPr>
          <w:p w14:paraId="05F7A911" w14:textId="77777777" w:rsidR="00B77BF4" w:rsidRPr="00DA64D2" w:rsidRDefault="00B77BF4" w:rsidP="00B77BF4"/>
        </w:tc>
      </w:tr>
      <w:tr w:rsidR="00B77BF4" w:rsidRPr="00DA64D2" w14:paraId="5745E8EF" w14:textId="77777777" w:rsidTr="158DD7C6">
        <w:tc>
          <w:tcPr>
            <w:tcW w:w="828" w:type="dxa"/>
          </w:tcPr>
          <w:p w14:paraId="4ED86825" w14:textId="74AC6070" w:rsidR="00B77BF4" w:rsidRPr="00DA64D2" w:rsidRDefault="00B77BF4" w:rsidP="00B77BF4">
            <w:pPr>
              <w:jc w:val="center"/>
            </w:pPr>
            <w:r w:rsidRPr="00C23738">
              <w:rPr>
                <w:rFonts w:ascii="MS Gothic" w:eastAsia="MS Gothic" w:hAnsi="MS Gothic" w:hint="eastAsia"/>
                <w:sz w:val="28"/>
                <w:szCs w:val="28"/>
              </w:rPr>
              <w:t>☐</w:t>
            </w:r>
          </w:p>
        </w:tc>
        <w:tc>
          <w:tcPr>
            <w:tcW w:w="7740" w:type="dxa"/>
          </w:tcPr>
          <w:p w14:paraId="7E120BB3" w14:textId="54B8A223" w:rsidR="00B77BF4" w:rsidRDefault="540B198C" w:rsidP="00B73355">
            <w:r>
              <w:t xml:space="preserve">Ensure Rehired Annuitant </w:t>
            </w:r>
            <w:r w:rsidR="00980D7C">
              <w:t>F</w:t>
            </w:r>
            <w:r>
              <w:t>orm (ET-2319) is returned within 7 days of hire date or job change and review form for completeness:</w:t>
            </w:r>
          </w:p>
          <w:p w14:paraId="3A0C83BC" w14:textId="4FAF095E" w:rsidR="540B198C" w:rsidRDefault="540B198C" w:rsidP="540B198C">
            <w:pPr>
              <w:pStyle w:val="ListParagraph"/>
              <w:numPr>
                <w:ilvl w:val="0"/>
                <w:numId w:val="18"/>
              </w:numPr>
            </w:pPr>
            <w:r>
              <w:t xml:space="preserve">You can find the most recent version of the ET-2319 form at </w:t>
            </w:r>
            <w:hyperlink r:id="rId11" w:history="1">
              <w:r w:rsidRPr="00B02D9E">
                <w:rPr>
                  <w:rStyle w:val="Hyperlink"/>
                </w:rPr>
                <w:t>etf.wi.gov/resource/rehired-annuitant</w:t>
              </w:r>
            </w:hyperlink>
            <w:r>
              <w:t>.</w:t>
            </w:r>
          </w:p>
          <w:p w14:paraId="1557D6BA" w14:textId="2153A33C" w:rsidR="00B77BF4" w:rsidRDefault="005E3057" w:rsidP="00B73355">
            <w:pPr>
              <w:pStyle w:val="ListParagraph"/>
              <w:numPr>
                <w:ilvl w:val="0"/>
                <w:numId w:val="18"/>
              </w:numPr>
            </w:pPr>
            <w:r>
              <w:lastRenderedPageBreak/>
              <w:t xml:space="preserve">Ensure </w:t>
            </w:r>
            <w:r w:rsidR="00B77BF4">
              <w:t>correct WRS employment category has been selected</w:t>
            </w:r>
          </w:p>
          <w:p w14:paraId="65D56B6B" w14:textId="530AD05C" w:rsidR="00B77BF4" w:rsidRDefault="00B77BF4" w:rsidP="00B73355">
            <w:pPr>
              <w:pStyle w:val="ListParagraph"/>
              <w:numPr>
                <w:ilvl w:val="0"/>
                <w:numId w:val="18"/>
              </w:numPr>
            </w:pPr>
            <w:r>
              <w:t xml:space="preserve">Do </w:t>
            </w:r>
            <w:r w:rsidR="007F1CF5">
              <w:rPr>
                <w:b/>
                <w:bCs/>
              </w:rPr>
              <w:t>not</w:t>
            </w:r>
            <w:r>
              <w:t xml:space="preserve"> sign as agent! </w:t>
            </w:r>
          </w:p>
          <w:p w14:paraId="1BECA4D0" w14:textId="36337CCF" w:rsidR="00B77BF4" w:rsidRDefault="00EE9A34" w:rsidP="00B73355">
            <w:pPr>
              <w:pStyle w:val="ListParagraph"/>
              <w:numPr>
                <w:ilvl w:val="0"/>
                <w:numId w:val="18"/>
              </w:numPr>
            </w:pPr>
            <w:r>
              <w:t>Upload to Box folder UW</w:t>
            </w:r>
            <w:r w:rsidR="00BD274E">
              <w:rPr>
                <w:rFonts w:ascii="Calibri" w:hAnsi="Calibri" w:cs="Calibri"/>
              </w:rPr>
              <w:t>—</w:t>
            </w:r>
            <w:r>
              <w:t xml:space="preserve">Madison Benefit Services). Questions can be directed to </w:t>
            </w:r>
            <w:hyperlink r:id="rId12" w:history="1">
              <w:r w:rsidRPr="00980D7C">
                <w:rPr>
                  <w:rStyle w:val="Hyperlink"/>
                </w:rPr>
                <w:t>benefits@ohr.wisc.edu</w:t>
              </w:r>
            </w:hyperlink>
            <w:r>
              <w:t>.</w:t>
            </w:r>
          </w:p>
          <w:p w14:paraId="453A7051" w14:textId="556C0840" w:rsidR="00E822E1" w:rsidRDefault="540B198C" w:rsidP="00B77BF4">
            <w:r w:rsidRPr="0037588D">
              <w:rPr>
                <w:highlight w:val="yellow"/>
              </w:rPr>
              <w:t>*This would be a good spot to link to instructions on how to complete the RA form.</w:t>
            </w:r>
            <w:r>
              <w:t xml:space="preserve"> </w:t>
            </w:r>
          </w:p>
          <w:p w14:paraId="7BBF6F61" w14:textId="51EC291F" w:rsidR="00B77BF4" w:rsidRDefault="00B77BF4" w:rsidP="00E822E1"/>
        </w:tc>
        <w:tc>
          <w:tcPr>
            <w:tcW w:w="1800" w:type="dxa"/>
          </w:tcPr>
          <w:p w14:paraId="01AC355B" w14:textId="77777777" w:rsidR="00B77BF4" w:rsidRDefault="00B77BF4" w:rsidP="00B77BF4"/>
          <w:p w14:paraId="5C00C69B" w14:textId="77777777" w:rsidR="00A87D7E" w:rsidRDefault="00A87D7E" w:rsidP="00A87D7E"/>
          <w:p w14:paraId="6A3BCBA5" w14:textId="77777777" w:rsidR="00A87D7E" w:rsidRDefault="00A87D7E" w:rsidP="00A87D7E">
            <w:pPr>
              <w:jc w:val="center"/>
            </w:pPr>
          </w:p>
          <w:p w14:paraId="7A20CC2E" w14:textId="06970231" w:rsidR="0015215E" w:rsidRPr="0015215E" w:rsidRDefault="0015215E" w:rsidP="0015215E">
            <w:pPr>
              <w:jc w:val="center"/>
            </w:pPr>
          </w:p>
        </w:tc>
      </w:tr>
      <w:tr w:rsidR="00B77BF4" w:rsidRPr="00DA64D2" w14:paraId="60B5BA77" w14:textId="77777777" w:rsidTr="158DD7C6">
        <w:tc>
          <w:tcPr>
            <w:tcW w:w="828" w:type="dxa"/>
          </w:tcPr>
          <w:p w14:paraId="30060C24" w14:textId="13FCABE4" w:rsidR="00B77BF4" w:rsidRPr="00DA64D2" w:rsidRDefault="00B77BF4" w:rsidP="00B77BF4">
            <w:pPr>
              <w:jc w:val="center"/>
            </w:pPr>
            <w:r w:rsidRPr="00C23738">
              <w:rPr>
                <w:rFonts w:ascii="MS Gothic" w:eastAsia="MS Gothic" w:hAnsi="MS Gothic" w:hint="eastAsia"/>
                <w:sz w:val="28"/>
                <w:szCs w:val="28"/>
              </w:rPr>
              <w:t>☐</w:t>
            </w:r>
          </w:p>
        </w:tc>
        <w:tc>
          <w:tcPr>
            <w:tcW w:w="7740" w:type="dxa"/>
          </w:tcPr>
          <w:p w14:paraId="47584DF0" w14:textId="7047D1B6" w:rsidR="00B77BF4" w:rsidRPr="00DA64D2" w:rsidRDefault="683D7024" w:rsidP="00B77BF4">
            <w:r>
              <w:t>Complete all other activities related to the normal hire process.</w:t>
            </w:r>
          </w:p>
        </w:tc>
        <w:tc>
          <w:tcPr>
            <w:tcW w:w="1800" w:type="dxa"/>
          </w:tcPr>
          <w:p w14:paraId="21B2BAD1" w14:textId="77777777" w:rsidR="00B77BF4" w:rsidRPr="00DA64D2" w:rsidRDefault="00B77BF4" w:rsidP="00B77BF4"/>
        </w:tc>
      </w:tr>
      <w:tr w:rsidR="542EB95A" w14:paraId="70B7AB25" w14:textId="77777777" w:rsidTr="158DD7C6">
        <w:tc>
          <w:tcPr>
            <w:tcW w:w="828" w:type="dxa"/>
          </w:tcPr>
          <w:p w14:paraId="45B7D8D8" w14:textId="13FCABE4" w:rsidR="542EB95A" w:rsidRDefault="542EB95A" w:rsidP="542EB95A">
            <w:pPr>
              <w:jc w:val="center"/>
            </w:pPr>
            <w:r w:rsidRPr="542EB95A">
              <w:rPr>
                <w:rFonts w:ascii="MS Gothic" w:eastAsia="MS Gothic" w:hAnsi="MS Gothic"/>
                <w:sz w:val="28"/>
                <w:szCs w:val="28"/>
              </w:rPr>
              <w:t>☐</w:t>
            </w:r>
          </w:p>
          <w:p w14:paraId="3925E1CC" w14:textId="3C19A670" w:rsidR="542EB95A" w:rsidRDefault="542EB95A" w:rsidP="542EB95A">
            <w:pPr>
              <w:jc w:val="center"/>
              <w:rPr>
                <w:rFonts w:ascii="MS Gothic" w:eastAsia="MS Gothic" w:hAnsi="MS Gothic"/>
                <w:sz w:val="28"/>
                <w:szCs w:val="28"/>
              </w:rPr>
            </w:pPr>
          </w:p>
        </w:tc>
        <w:tc>
          <w:tcPr>
            <w:tcW w:w="7740" w:type="dxa"/>
          </w:tcPr>
          <w:p w14:paraId="1818C125" w14:textId="539B909D" w:rsidR="542EB95A" w:rsidRDefault="540B198C" w:rsidP="542EB95A">
            <w:r>
              <w:t xml:space="preserve">If Rehired Annuitant is eligible for and is choosing to come under WRS or is being compelled to come under the WRS, it is required to submit either enrollment or waiver forms for State Group Health, State Group Life, Income Continuation Insurance.  This is usually submitted with the Rehired Annuitant form.  Also submit any other insurance applications. (Link: </w:t>
            </w:r>
            <w:hyperlink r:id="rId13" w:history="1">
              <w:r w:rsidRPr="00253214">
                <w:rPr>
                  <w:rStyle w:val="Hyperlink"/>
                </w:rPr>
                <w:t>hr.wisc.edu/forms/</w:t>
              </w:r>
            </w:hyperlink>
            <w:r>
              <w:t>)</w:t>
            </w:r>
          </w:p>
        </w:tc>
        <w:tc>
          <w:tcPr>
            <w:tcW w:w="1800" w:type="dxa"/>
          </w:tcPr>
          <w:p w14:paraId="7AF5F1F1" w14:textId="285D9E13" w:rsidR="542EB95A" w:rsidRDefault="542EB95A" w:rsidP="542EB95A"/>
        </w:tc>
      </w:tr>
    </w:tbl>
    <w:p w14:paraId="1B9974AC" w14:textId="77777777" w:rsidR="00B77BF4" w:rsidRPr="008F7079" w:rsidRDefault="00B77BF4" w:rsidP="00D45814">
      <w:pPr>
        <w:pStyle w:val="Heading1"/>
      </w:pPr>
      <w:bookmarkStart w:id="0" w:name="Resources"/>
      <w:r w:rsidRPr="008F7079">
        <w:t>Resources:</w:t>
      </w:r>
    </w:p>
    <w:bookmarkEnd w:id="0"/>
    <w:p w14:paraId="0F99D552" w14:textId="77777777" w:rsidR="00B77BF4" w:rsidRDefault="00B77BF4" w:rsidP="00FE6265"/>
    <w:p w14:paraId="3D6B542E" w14:textId="77777777" w:rsidR="00B77BF4" w:rsidRPr="008F7079" w:rsidRDefault="00B77BF4" w:rsidP="00D45814">
      <w:pPr>
        <w:pStyle w:val="Heading2"/>
      </w:pPr>
      <w:r w:rsidRPr="008F7079">
        <w:t xml:space="preserve">Overview </w:t>
      </w:r>
    </w:p>
    <w:p w14:paraId="59894D43" w14:textId="0AA73603" w:rsidR="00B77BF4" w:rsidRPr="00DA64D2" w:rsidRDefault="00B77BF4" w:rsidP="00FA1A1A">
      <w:pPr>
        <w:spacing w:line="240" w:lineRule="auto"/>
      </w:pPr>
      <w:r w:rsidRPr="00DA64D2">
        <w:t>UW</w:t>
      </w:r>
      <w:r w:rsidR="00BD274E">
        <w:rPr>
          <w:rFonts w:ascii="Calibri" w:hAnsi="Calibri" w:cs="Calibri"/>
        </w:rPr>
        <w:t>—</w:t>
      </w:r>
      <w:r w:rsidRPr="00DA64D2">
        <w:t xml:space="preserve">Madison will follow the requirements of Wisconsin Statutes 40.22 when hiring individuals who are receiving a Wisconsin Retirement System (WRS) annuity. </w:t>
      </w:r>
    </w:p>
    <w:p w14:paraId="0365FA68" w14:textId="539E42C8" w:rsidR="00B77BF4" w:rsidRPr="00DA64D2" w:rsidRDefault="540B198C" w:rsidP="00FA1A1A">
      <w:pPr>
        <w:spacing w:line="240" w:lineRule="auto"/>
      </w:pPr>
      <w:r>
        <w:t xml:space="preserve">After an individual retires from an employer covered by the WRS, they may return to work with a WRS employer as a rehired annuitant (e.g., continuing to receive their WRS annuity), provided certain requirements are met. There are no restrictions on what type of position a rehired annuitant can hold. Under the WRS, there is no limit to how much an individual may earn as a rehired annuitant. </w:t>
      </w:r>
    </w:p>
    <w:p w14:paraId="7A440CF1" w14:textId="77777777" w:rsidR="00B77BF4" w:rsidRPr="008F7079" w:rsidRDefault="00B77BF4" w:rsidP="00D45814">
      <w:pPr>
        <w:pStyle w:val="Heading2"/>
      </w:pPr>
      <w:r w:rsidRPr="008F7079">
        <w:t xml:space="preserve">Who is a Rehired Annuitant? </w:t>
      </w:r>
    </w:p>
    <w:p w14:paraId="44428ED7" w14:textId="14130AB7" w:rsidR="007B746A" w:rsidRPr="007B746A" w:rsidRDefault="007B746A" w:rsidP="007B746A">
      <w:pPr>
        <w:spacing w:after="120" w:line="240" w:lineRule="auto"/>
      </w:pPr>
      <w:r w:rsidRPr="007B746A">
        <w:t>An employee who:</w:t>
      </w:r>
    </w:p>
    <w:p w14:paraId="486E9B5B" w14:textId="77777777" w:rsidR="007B746A" w:rsidRPr="007B746A" w:rsidRDefault="007B746A" w:rsidP="007B746A">
      <w:pPr>
        <w:pStyle w:val="ListParagraph"/>
        <w:numPr>
          <w:ilvl w:val="0"/>
          <w:numId w:val="20"/>
        </w:numPr>
        <w:shd w:val="clear" w:color="auto" w:fill="FFFFFF"/>
        <w:spacing w:before="100" w:beforeAutospacing="1" w:after="100" w:afterAutospacing="1" w:line="240" w:lineRule="auto"/>
        <w:rPr>
          <w:rFonts w:eastAsia="Times New Roman" w:cstheme="minorHAnsi"/>
          <w:color w:val="333333"/>
        </w:rPr>
      </w:pPr>
      <w:r w:rsidRPr="007B746A">
        <w:rPr>
          <w:rFonts w:eastAsia="Times New Roman" w:cstheme="minorHAnsi"/>
          <w:color w:val="333333"/>
        </w:rPr>
        <w:t>Is currently receiving or has a suspended Wisconsin Retirement System (WRS) benefit; and</w:t>
      </w:r>
    </w:p>
    <w:p w14:paraId="564AD650" w14:textId="77777777" w:rsidR="007B746A" w:rsidRPr="007B746A" w:rsidRDefault="007B746A" w:rsidP="007B746A">
      <w:pPr>
        <w:pStyle w:val="ListParagraph"/>
        <w:numPr>
          <w:ilvl w:val="0"/>
          <w:numId w:val="20"/>
        </w:numPr>
        <w:shd w:val="clear" w:color="auto" w:fill="FFFFFF"/>
        <w:spacing w:before="100" w:beforeAutospacing="1" w:after="100" w:afterAutospacing="1" w:line="240" w:lineRule="auto"/>
        <w:rPr>
          <w:rFonts w:eastAsia="Times New Roman" w:cstheme="minorHAnsi"/>
          <w:color w:val="333333"/>
        </w:rPr>
      </w:pPr>
      <w:r w:rsidRPr="007B746A">
        <w:rPr>
          <w:rFonts w:eastAsia="Times New Roman" w:cstheme="minorHAnsi"/>
          <w:color w:val="333333"/>
        </w:rPr>
        <w:t>Had a valid termination of employment; and</w:t>
      </w:r>
    </w:p>
    <w:p w14:paraId="100C9641" w14:textId="77777777" w:rsidR="007B746A" w:rsidRPr="007B746A" w:rsidRDefault="007B746A" w:rsidP="007B746A">
      <w:pPr>
        <w:pStyle w:val="ListParagraph"/>
        <w:numPr>
          <w:ilvl w:val="0"/>
          <w:numId w:val="20"/>
        </w:numPr>
        <w:shd w:val="clear" w:color="auto" w:fill="FFFFFF"/>
        <w:spacing w:before="100" w:beforeAutospacing="1" w:after="100" w:afterAutospacing="1" w:line="240" w:lineRule="auto"/>
        <w:rPr>
          <w:rFonts w:eastAsia="Times New Roman" w:cstheme="minorHAnsi"/>
          <w:color w:val="333333"/>
        </w:rPr>
      </w:pPr>
      <w:r w:rsidRPr="007B746A">
        <w:rPr>
          <w:rFonts w:eastAsia="Times New Roman" w:cstheme="minorHAnsi"/>
          <w:color w:val="333333"/>
        </w:rPr>
        <w:t>Served the minimum required break between the end of WRS employment and returning to work for a WRS-covered employer; and</w:t>
      </w:r>
    </w:p>
    <w:p w14:paraId="4DECF143" w14:textId="77777777" w:rsidR="007B746A" w:rsidRPr="007B746A" w:rsidRDefault="007B746A" w:rsidP="007B746A">
      <w:pPr>
        <w:pStyle w:val="ListParagraph"/>
        <w:numPr>
          <w:ilvl w:val="0"/>
          <w:numId w:val="20"/>
        </w:numPr>
        <w:shd w:val="clear" w:color="auto" w:fill="FFFFFF"/>
        <w:spacing w:before="100" w:beforeAutospacing="1" w:after="160" w:line="240" w:lineRule="auto"/>
        <w:rPr>
          <w:rFonts w:eastAsia="Times New Roman" w:cstheme="minorHAnsi"/>
          <w:color w:val="333333"/>
        </w:rPr>
      </w:pPr>
      <w:r w:rsidRPr="007B746A">
        <w:rPr>
          <w:rFonts w:eastAsia="Times New Roman" w:cstheme="minorHAnsi"/>
          <w:color w:val="333333"/>
        </w:rPr>
        <w:t>Now works for an employer covered by the WRS.  </w:t>
      </w:r>
    </w:p>
    <w:p w14:paraId="15F07348" w14:textId="77777777" w:rsidR="007B746A" w:rsidRPr="007B746A" w:rsidRDefault="007B746A" w:rsidP="007B746A">
      <w:pPr>
        <w:shd w:val="clear" w:color="auto" w:fill="FFFFFF"/>
        <w:rPr>
          <w:rFonts w:eastAsia="Times New Roman" w:cstheme="minorHAnsi"/>
          <w:color w:val="000000"/>
        </w:rPr>
      </w:pPr>
      <w:r w:rsidRPr="007B746A">
        <w:rPr>
          <w:rFonts w:eastAsia="Times New Roman" w:cstheme="minorHAnsi"/>
          <w:color w:val="333333"/>
        </w:rPr>
        <w:t xml:space="preserve">Note: An employee who previously received a separation or lump sum retirement benefit from the WRS is not considered a </w:t>
      </w:r>
      <w:r w:rsidRPr="007B746A">
        <w:rPr>
          <w:rFonts w:eastAsia="Times New Roman" w:cstheme="minorHAnsi"/>
          <w:b/>
          <w:bCs/>
          <w:color w:val="333333"/>
        </w:rPr>
        <w:t>rehired annuitant</w:t>
      </w:r>
      <w:r w:rsidRPr="007B746A">
        <w:rPr>
          <w:rFonts w:eastAsia="Times New Roman" w:cstheme="minorHAnsi"/>
          <w:color w:val="333333"/>
        </w:rPr>
        <w:t xml:space="preserve">. </w:t>
      </w:r>
      <w:r w:rsidRPr="007B746A">
        <w:rPr>
          <w:rFonts w:eastAsia="Times New Roman" w:cstheme="minorHAnsi"/>
          <w:b/>
          <w:bCs/>
          <w:color w:val="333333"/>
          <w:shd w:val="clear" w:color="auto" w:fill="FFFFFF"/>
        </w:rPr>
        <w:t> </w:t>
      </w:r>
      <w:r w:rsidRPr="007B746A">
        <w:rPr>
          <w:rFonts w:eastAsia="Times New Roman" w:cstheme="minorHAnsi"/>
          <w:color w:val="333333"/>
          <w:shd w:val="clear" w:color="auto" w:fill="FFFFFF"/>
        </w:rPr>
        <w:t xml:space="preserve">Per Wis </w:t>
      </w:r>
      <w:r w:rsidRPr="007B746A">
        <w:rPr>
          <w:rFonts w:eastAsia="Times New Roman" w:cstheme="minorHAnsi"/>
          <w:color w:val="333333"/>
        </w:rPr>
        <w:t xml:space="preserve">Stat. §§ </w:t>
      </w:r>
      <w:hyperlink r:id="rId14" w:history="1">
        <w:r w:rsidRPr="007B746A">
          <w:rPr>
            <w:rStyle w:val="Hyperlink"/>
            <w:rFonts w:eastAsia="Times New Roman" w:cstheme="minorHAnsi"/>
            <w:color w:val="1155CC"/>
          </w:rPr>
          <w:t>40.23 (1) (a) 1</w:t>
        </w:r>
      </w:hyperlink>
      <w:r w:rsidRPr="007B746A">
        <w:rPr>
          <w:rFonts w:eastAsia="Times New Roman" w:cstheme="minorHAnsi"/>
          <w:color w:val="333333"/>
        </w:rPr>
        <w:t> and</w:t>
      </w:r>
      <w:r w:rsidRPr="007B746A">
        <w:rPr>
          <w:rFonts w:eastAsia="Times New Roman" w:cstheme="minorHAnsi"/>
          <w:color w:val="1155CC"/>
        </w:rPr>
        <w:t> </w:t>
      </w:r>
      <w:hyperlink r:id="rId15" w:history="1">
        <w:r w:rsidRPr="007B746A">
          <w:rPr>
            <w:rStyle w:val="Hyperlink"/>
            <w:rFonts w:eastAsia="Times New Roman" w:cstheme="minorHAnsi"/>
            <w:color w:val="1155CC"/>
          </w:rPr>
          <w:t>40.26 (5)</w:t>
        </w:r>
      </w:hyperlink>
      <w:r w:rsidRPr="007B746A">
        <w:rPr>
          <w:rFonts w:eastAsia="Times New Roman" w:cstheme="minorHAnsi"/>
          <w:color w:val="333333"/>
        </w:rPr>
        <w:t xml:space="preserve"> and is defined in </w:t>
      </w:r>
      <w:hyperlink r:id="rId16" w:history="1">
        <w:r w:rsidRPr="007B746A">
          <w:rPr>
            <w:rStyle w:val="Hyperlink"/>
            <w:rFonts w:eastAsia="Times New Roman" w:cstheme="minorHAnsi"/>
            <w:color w:val="1155CC"/>
          </w:rPr>
          <w:t>Wis. Admin. Code § ETF 10.08 (2) (c)</w:t>
        </w:r>
      </w:hyperlink>
      <w:r w:rsidRPr="007B746A">
        <w:rPr>
          <w:rFonts w:eastAsia="Times New Roman" w:cstheme="minorHAnsi"/>
          <w:color w:val="1155CC"/>
        </w:rPr>
        <w:t>.</w:t>
      </w:r>
    </w:p>
    <w:p w14:paraId="5A4FCDEB" w14:textId="77777777" w:rsidR="00B77BF4" w:rsidRPr="00DA64D2" w:rsidRDefault="00B77BF4" w:rsidP="00D45814">
      <w:pPr>
        <w:pStyle w:val="Heading2"/>
      </w:pPr>
      <w:r w:rsidRPr="00DA64D2">
        <w:t xml:space="preserve">Valid Termination and Minimum Required Break </w:t>
      </w:r>
    </w:p>
    <w:p w14:paraId="5941B30C" w14:textId="36725421" w:rsidR="456B10EA" w:rsidRDefault="456B10EA" w:rsidP="009D3B81">
      <w:pPr>
        <w:rPr>
          <w:rFonts w:eastAsia="Calibri"/>
        </w:rPr>
      </w:pPr>
      <w:r w:rsidRPr="456B10EA">
        <w:rPr>
          <w:rFonts w:eastAsia="Calibri"/>
        </w:rPr>
        <w:t xml:space="preserve">Annuitants must have a valid termination of employment and meet the minimum break-in-service requirement. In many cases if an annuitant does not separate for at least 75 days, the retirement will be considered invalid. </w:t>
      </w:r>
    </w:p>
    <w:p w14:paraId="64078359" w14:textId="2B5F587B" w:rsidR="456B10EA" w:rsidRDefault="540B198C" w:rsidP="007B746A">
      <w:pPr>
        <w:pStyle w:val="ListParagraph"/>
        <w:numPr>
          <w:ilvl w:val="0"/>
          <w:numId w:val="2"/>
        </w:numPr>
      </w:pPr>
      <w:r w:rsidRPr="540B198C">
        <w:rPr>
          <w:rFonts w:eastAsia="Calibri"/>
        </w:rPr>
        <w:t xml:space="preserve">A 75-day break in service is </w:t>
      </w:r>
      <w:r w:rsidRPr="540B198C">
        <w:rPr>
          <w:rFonts w:eastAsia="Calibri"/>
          <w:b/>
          <w:bCs/>
        </w:rPr>
        <w:t xml:space="preserve">required </w:t>
      </w:r>
      <w:r w:rsidRPr="540B198C">
        <w:rPr>
          <w:rFonts w:eastAsia="Calibri"/>
        </w:rPr>
        <w:t>when a retiree returns to any work for the</w:t>
      </w:r>
      <w:r w:rsidRPr="540B198C">
        <w:rPr>
          <w:rFonts w:eastAsia="Calibri"/>
          <w:i/>
          <w:iCs/>
        </w:rPr>
        <w:t xml:space="preserve"> same </w:t>
      </w:r>
      <w:r w:rsidRPr="540B198C">
        <w:rPr>
          <w:rFonts w:eastAsia="Calibri"/>
        </w:rPr>
        <w:t xml:space="preserve">employer they retired from. </w:t>
      </w:r>
    </w:p>
    <w:p w14:paraId="51510DDF" w14:textId="0FCD3B1D" w:rsidR="456B10EA" w:rsidRDefault="52EA7091" w:rsidP="007B746A">
      <w:pPr>
        <w:pStyle w:val="ListParagraph"/>
        <w:numPr>
          <w:ilvl w:val="0"/>
          <w:numId w:val="2"/>
        </w:numPr>
      </w:pPr>
      <w:r w:rsidRPr="52EA7091">
        <w:rPr>
          <w:rFonts w:eastAsia="Calibri"/>
        </w:rPr>
        <w:t xml:space="preserve">A 75-day break in service is </w:t>
      </w:r>
      <w:r w:rsidRPr="52EA7091">
        <w:rPr>
          <w:rFonts w:eastAsia="Calibri"/>
          <w:b/>
          <w:bCs/>
        </w:rPr>
        <w:t>required</w:t>
      </w:r>
      <w:r w:rsidRPr="52EA7091">
        <w:rPr>
          <w:rFonts w:eastAsia="Calibri"/>
        </w:rPr>
        <w:t xml:space="preserve"> when a retiree goes to work for a</w:t>
      </w:r>
      <w:r w:rsidRPr="52EA7091">
        <w:rPr>
          <w:rFonts w:eastAsia="Calibri"/>
          <w:i/>
          <w:iCs/>
        </w:rPr>
        <w:t xml:space="preserve"> different </w:t>
      </w:r>
      <w:r w:rsidRPr="52EA7091">
        <w:rPr>
          <w:rFonts w:eastAsia="Calibri"/>
        </w:rPr>
        <w:t xml:space="preserve">WRS </w:t>
      </w:r>
      <w:proofErr w:type="gramStart"/>
      <w:r w:rsidRPr="52EA7091">
        <w:rPr>
          <w:rFonts w:eastAsia="Calibri"/>
        </w:rPr>
        <w:t>employer, if</w:t>
      </w:r>
      <w:proofErr w:type="gramEnd"/>
      <w:r w:rsidRPr="52EA7091">
        <w:rPr>
          <w:rFonts w:eastAsia="Calibri"/>
        </w:rPr>
        <w:t xml:space="preserve"> the position is expected to meet the WRS eligibility criteria. </w:t>
      </w:r>
    </w:p>
    <w:p w14:paraId="6887153F" w14:textId="20710DF3" w:rsidR="44122FE4" w:rsidRDefault="540B198C" w:rsidP="007B746A">
      <w:pPr>
        <w:pStyle w:val="ListParagraph"/>
        <w:numPr>
          <w:ilvl w:val="0"/>
          <w:numId w:val="2"/>
        </w:numPr>
      </w:pPr>
      <w:r w:rsidRPr="540B198C">
        <w:rPr>
          <w:rFonts w:eastAsia="Calibri"/>
        </w:rPr>
        <w:lastRenderedPageBreak/>
        <w:t xml:space="preserve">A 75-day break in service is </w:t>
      </w:r>
      <w:r w:rsidRPr="540B198C">
        <w:rPr>
          <w:rFonts w:eastAsia="Calibri"/>
          <w:b/>
          <w:bCs/>
        </w:rPr>
        <w:t>not required</w:t>
      </w:r>
      <w:r w:rsidRPr="540B198C">
        <w:rPr>
          <w:rFonts w:eastAsia="Calibri"/>
        </w:rPr>
        <w:t xml:space="preserve"> when a retiree goes to work for a </w:t>
      </w:r>
      <w:r w:rsidRPr="540B198C">
        <w:rPr>
          <w:rFonts w:eastAsia="Calibri"/>
          <w:i/>
          <w:iCs/>
        </w:rPr>
        <w:t xml:space="preserve">different </w:t>
      </w:r>
      <w:r w:rsidRPr="540B198C">
        <w:rPr>
          <w:rFonts w:eastAsia="Calibri"/>
        </w:rPr>
        <w:t xml:space="preserve">WRS </w:t>
      </w:r>
      <w:proofErr w:type="gramStart"/>
      <w:r w:rsidRPr="540B198C">
        <w:rPr>
          <w:rFonts w:eastAsia="Calibri"/>
        </w:rPr>
        <w:t>employer, if</w:t>
      </w:r>
      <w:proofErr w:type="gramEnd"/>
      <w:r w:rsidRPr="540B198C">
        <w:rPr>
          <w:rFonts w:eastAsia="Calibri"/>
        </w:rPr>
        <w:t xml:space="preserve"> the position is not expected to meet the WRS eligibility criteria. </w:t>
      </w:r>
    </w:p>
    <w:p w14:paraId="6A2F589D" w14:textId="41D23B23" w:rsidR="540B198C" w:rsidRDefault="52EA7091" w:rsidP="007B746A">
      <w:pPr>
        <w:pStyle w:val="ListParagraph"/>
        <w:numPr>
          <w:ilvl w:val="0"/>
          <w:numId w:val="2"/>
        </w:numPr>
        <w:spacing w:after="0"/>
        <w:rPr>
          <w:color w:val="000000" w:themeColor="text1"/>
        </w:rPr>
      </w:pPr>
      <w:r w:rsidRPr="52EA7091">
        <w:rPr>
          <w:rFonts w:eastAsia="Calibri"/>
        </w:rPr>
        <w:t xml:space="preserve">A 75-day break is service is </w:t>
      </w:r>
      <w:r w:rsidRPr="52EA7091">
        <w:rPr>
          <w:rFonts w:eastAsia="Calibri"/>
          <w:b/>
          <w:bCs/>
        </w:rPr>
        <w:t>not required</w:t>
      </w:r>
      <w:r w:rsidRPr="52EA7091">
        <w:rPr>
          <w:rFonts w:eastAsia="Calibri"/>
        </w:rPr>
        <w:t xml:space="preserve"> when an annuitant goes to work for an employer who does not participate in the WRS. The employer does not offer WRS benefits.</w:t>
      </w:r>
    </w:p>
    <w:p w14:paraId="14023D0F" w14:textId="77840FDE" w:rsidR="456B10EA" w:rsidRPr="009D3B81" w:rsidRDefault="44122FE4" w:rsidP="456B10EA">
      <w:pPr>
        <w:spacing w:line="240" w:lineRule="auto"/>
      </w:pPr>
      <w:r w:rsidRPr="009D3B81">
        <w:t>Minimum break-in-service information above can be found in ETF’s</w:t>
      </w:r>
      <w:r w:rsidRPr="44122FE4">
        <w:rPr>
          <w:rFonts w:ascii="Calibri" w:eastAsia="Calibri" w:hAnsi="Calibri" w:cs="Calibri"/>
          <w:color w:val="00B050"/>
        </w:rPr>
        <w:t xml:space="preserve"> </w:t>
      </w:r>
      <w:hyperlink r:id="rId17">
        <w:r w:rsidRPr="44122FE4">
          <w:rPr>
            <w:rStyle w:val="Hyperlink"/>
            <w:rFonts w:ascii="Calibri" w:eastAsia="Calibri" w:hAnsi="Calibri" w:cs="Calibri"/>
            <w:i/>
            <w:iCs/>
          </w:rPr>
          <w:t>Information for Rehired Annuitants</w:t>
        </w:r>
      </w:hyperlink>
      <w:r w:rsidRPr="44122FE4">
        <w:rPr>
          <w:rFonts w:ascii="Calibri" w:eastAsia="Calibri" w:hAnsi="Calibri" w:cs="Calibri"/>
          <w:i/>
          <w:iCs/>
          <w:color w:val="00B050"/>
        </w:rPr>
        <w:t xml:space="preserve"> </w:t>
      </w:r>
      <w:r w:rsidRPr="009D3B81">
        <w:t xml:space="preserve">(ET-4105). The 75-day minimum break in service period begins the date that all WRS participating employment terminated. </w:t>
      </w:r>
    </w:p>
    <w:p w14:paraId="50238933" w14:textId="10865C4D" w:rsidR="00B77BF4" w:rsidRPr="00DA64D2" w:rsidRDefault="52EA7091" w:rsidP="44122FE4">
      <w:pPr>
        <w:spacing w:line="240" w:lineRule="auto"/>
        <w:rPr>
          <w:strike/>
          <w:color w:val="FF0000"/>
        </w:rPr>
      </w:pPr>
      <w:r>
        <w:t xml:space="preserve">Before retirement, there </w:t>
      </w:r>
      <w:r w:rsidRPr="52EA7091">
        <w:rPr>
          <w:b/>
          <w:bCs/>
        </w:rPr>
        <w:t xml:space="preserve">cannot </w:t>
      </w:r>
      <w:r>
        <w:t xml:space="preserve">be </w:t>
      </w:r>
      <w:r w:rsidR="00916B1D">
        <w:t>a</w:t>
      </w:r>
      <w:r>
        <w:t xml:space="preserve"> contract (verbal or written) in place to return to work before the employee’s termination date. </w:t>
      </w:r>
    </w:p>
    <w:p w14:paraId="7E53514D" w14:textId="68F08A66" w:rsidR="00B77BF4" w:rsidRPr="00DA64D2" w:rsidRDefault="00B77BF4" w:rsidP="00FA1A1A">
      <w:pPr>
        <w:spacing w:line="240" w:lineRule="auto"/>
      </w:pPr>
      <w:r w:rsidRPr="00DA64D2">
        <w:t xml:space="preserve">If the Department of Employee Trust Funds (ETF) determines that a termination is not valid, an individual’s annuity could be </w:t>
      </w:r>
      <w:r w:rsidR="00980D7C" w:rsidRPr="00DA64D2">
        <w:t>stopped,</w:t>
      </w:r>
      <w:r w:rsidRPr="00DA64D2">
        <w:t xml:space="preserve"> and any annuity payments considered to be paid in error must be returned.</w:t>
      </w:r>
    </w:p>
    <w:p w14:paraId="5D62E6C4" w14:textId="77777777" w:rsidR="00B77BF4" w:rsidRPr="00DA64D2" w:rsidRDefault="52EA7091" w:rsidP="00D45814">
      <w:pPr>
        <w:pStyle w:val="Heading2"/>
      </w:pPr>
      <w:r>
        <w:t xml:space="preserve">Benefits </w:t>
      </w:r>
    </w:p>
    <w:p w14:paraId="363BC758" w14:textId="75F13BF5" w:rsidR="00B77BF4" w:rsidRPr="00DA64D2" w:rsidRDefault="52EA7091" w:rsidP="52EA7091">
      <w:pPr>
        <w:pStyle w:val="Default"/>
        <w:rPr>
          <w:rFonts w:asciiTheme="minorHAnsi" w:hAnsiTheme="minorHAnsi"/>
          <w:color w:val="auto"/>
          <w:sz w:val="22"/>
          <w:szCs w:val="22"/>
        </w:rPr>
      </w:pPr>
      <w:r w:rsidRPr="52EA7091">
        <w:rPr>
          <w:rFonts w:ascii="Calibri" w:eastAsia="Calibri" w:hAnsi="Calibri" w:cs="Calibri"/>
          <w:color w:val="333333"/>
          <w:sz w:val="22"/>
          <w:szCs w:val="22"/>
        </w:rPr>
        <w:t xml:space="preserve">Rehired annuitants, </w:t>
      </w:r>
      <w:proofErr w:type="gramStart"/>
      <w:r w:rsidRPr="52EA7091">
        <w:rPr>
          <w:rFonts w:ascii="Calibri" w:eastAsia="Calibri" w:hAnsi="Calibri" w:cs="Calibri"/>
          <w:color w:val="333333"/>
          <w:sz w:val="22"/>
          <w:szCs w:val="22"/>
        </w:rPr>
        <w:t>whether or not</w:t>
      </w:r>
      <w:proofErr w:type="gramEnd"/>
      <w:r w:rsidRPr="52EA7091">
        <w:rPr>
          <w:rFonts w:ascii="Calibri" w:eastAsia="Calibri" w:hAnsi="Calibri" w:cs="Calibri"/>
          <w:color w:val="333333"/>
          <w:sz w:val="22"/>
          <w:szCs w:val="22"/>
        </w:rPr>
        <w:t xml:space="preserve"> covered by the WRS, are eligible for the following benefits:</w:t>
      </w:r>
      <w:r w:rsidRPr="52EA7091">
        <w:rPr>
          <w:rFonts w:asciiTheme="minorHAnsi" w:hAnsiTheme="minorHAnsi"/>
          <w:color w:val="auto"/>
          <w:sz w:val="22"/>
          <w:szCs w:val="22"/>
        </w:rPr>
        <w:t xml:space="preserve"> </w:t>
      </w:r>
    </w:p>
    <w:p w14:paraId="525BF439" w14:textId="090B5251" w:rsidR="52EA7091" w:rsidRDefault="52EA7091" w:rsidP="52EA7091">
      <w:pPr>
        <w:pStyle w:val="Default"/>
        <w:numPr>
          <w:ilvl w:val="0"/>
          <w:numId w:val="17"/>
        </w:numPr>
        <w:rPr>
          <w:rFonts w:asciiTheme="minorHAnsi" w:hAnsiTheme="minorHAnsi" w:cstheme="minorBidi"/>
          <w:color w:val="333333"/>
          <w:sz w:val="22"/>
          <w:szCs w:val="22"/>
        </w:rPr>
      </w:pPr>
      <w:r w:rsidRPr="52EA7091">
        <w:rPr>
          <w:rFonts w:ascii="Calibri" w:eastAsia="Calibri" w:hAnsi="Calibri" w:cs="Calibri"/>
          <w:color w:val="333333"/>
          <w:sz w:val="22"/>
          <w:szCs w:val="22"/>
        </w:rPr>
        <w:t>UW 403(b) Supplemental Retirement Program (SRP)</w:t>
      </w:r>
    </w:p>
    <w:p w14:paraId="29433D5C" w14:textId="6AB4F4A4" w:rsidR="52EA7091" w:rsidRDefault="52EA7091" w:rsidP="52EA7091">
      <w:pPr>
        <w:pStyle w:val="ListParagraph"/>
        <w:numPr>
          <w:ilvl w:val="0"/>
          <w:numId w:val="17"/>
        </w:numPr>
        <w:tabs>
          <w:tab w:val="left" w:pos="0"/>
          <w:tab w:val="left" w:pos="720"/>
        </w:tabs>
        <w:rPr>
          <w:color w:val="333333"/>
        </w:rPr>
      </w:pPr>
      <w:r w:rsidRPr="52EA7091">
        <w:rPr>
          <w:rFonts w:ascii="Calibri" w:eastAsia="Calibri" w:hAnsi="Calibri" w:cs="Calibri"/>
          <w:color w:val="333333"/>
        </w:rPr>
        <w:t>Wisconsin Deferred Compensation 457 Program</w:t>
      </w:r>
    </w:p>
    <w:p w14:paraId="752D73AC" w14:textId="077F610E" w:rsidR="52EA7091" w:rsidRDefault="52EA7091" w:rsidP="52EA7091">
      <w:pPr>
        <w:pStyle w:val="ListParagraph"/>
        <w:numPr>
          <w:ilvl w:val="0"/>
          <w:numId w:val="17"/>
        </w:numPr>
        <w:tabs>
          <w:tab w:val="left" w:pos="0"/>
          <w:tab w:val="left" w:pos="720"/>
        </w:tabs>
        <w:rPr>
          <w:color w:val="333333"/>
        </w:rPr>
      </w:pPr>
      <w:r w:rsidRPr="52EA7091">
        <w:rPr>
          <w:rFonts w:ascii="Calibri" w:eastAsia="Calibri" w:hAnsi="Calibri" w:cs="Calibri"/>
          <w:color w:val="333333"/>
        </w:rPr>
        <w:t xml:space="preserve">Flexible Spending Accounts (FSA) </w:t>
      </w:r>
    </w:p>
    <w:p w14:paraId="594CABC6" w14:textId="603BFE92" w:rsidR="52EA7091" w:rsidRDefault="52EA7091" w:rsidP="52EA7091">
      <w:pPr>
        <w:pStyle w:val="ListParagraph"/>
        <w:numPr>
          <w:ilvl w:val="1"/>
          <w:numId w:val="17"/>
        </w:numPr>
        <w:tabs>
          <w:tab w:val="left" w:pos="0"/>
          <w:tab w:val="left" w:pos="1440"/>
        </w:tabs>
        <w:rPr>
          <w:color w:val="333333"/>
        </w:rPr>
      </w:pPr>
      <w:r w:rsidRPr="52EA7091">
        <w:rPr>
          <w:rFonts w:ascii="Calibri" w:eastAsia="Calibri" w:hAnsi="Calibri" w:cs="Calibri"/>
          <w:color w:val="333333"/>
        </w:rPr>
        <w:t xml:space="preserve">University Staff Temporary employees (TE) are not eligible. </w:t>
      </w:r>
    </w:p>
    <w:p w14:paraId="30528C8D" w14:textId="27241611" w:rsidR="52EA7091" w:rsidRDefault="52EA7091" w:rsidP="52EA7091">
      <w:pPr>
        <w:pStyle w:val="ListParagraph"/>
        <w:numPr>
          <w:ilvl w:val="0"/>
          <w:numId w:val="17"/>
        </w:numPr>
        <w:tabs>
          <w:tab w:val="left" w:pos="0"/>
          <w:tab w:val="left" w:pos="720"/>
        </w:tabs>
        <w:rPr>
          <w:color w:val="333333"/>
        </w:rPr>
      </w:pPr>
      <w:r w:rsidRPr="52EA7091">
        <w:rPr>
          <w:rFonts w:ascii="Calibri" w:eastAsia="Calibri" w:hAnsi="Calibri" w:cs="Calibri"/>
          <w:color w:val="333333"/>
        </w:rPr>
        <w:t xml:space="preserve">Pre-Tax Transportation and Commuter Benefits </w:t>
      </w:r>
    </w:p>
    <w:p w14:paraId="73CA19A8" w14:textId="021A2BC9" w:rsidR="52EA7091" w:rsidRDefault="52EA7091" w:rsidP="52EA7091">
      <w:pPr>
        <w:pStyle w:val="ListParagraph"/>
        <w:numPr>
          <w:ilvl w:val="1"/>
          <w:numId w:val="17"/>
        </w:numPr>
        <w:tabs>
          <w:tab w:val="left" w:pos="0"/>
          <w:tab w:val="left" w:pos="1440"/>
        </w:tabs>
        <w:rPr>
          <w:color w:val="333333"/>
        </w:rPr>
      </w:pPr>
      <w:r w:rsidRPr="52EA7091">
        <w:rPr>
          <w:rFonts w:ascii="Calibri" w:eastAsia="Calibri" w:hAnsi="Calibri" w:cs="Calibri"/>
          <w:color w:val="333333"/>
        </w:rPr>
        <w:t xml:space="preserve">University Staff Temporary employees (TE) are not eligible. </w:t>
      </w:r>
    </w:p>
    <w:p w14:paraId="46F79531" w14:textId="0C5175E0" w:rsidR="52EA7091" w:rsidRDefault="52EA7091" w:rsidP="52EA7091">
      <w:pPr>
        <w:pStyle w:val="ListParagraph"/>
        <w:numPr>
          <w:ilvl w:val="0"/>
          <w:numId w:val="17"/>
        </w:numPr>
        <w:tabs>
          <w:tab w:val="left" w:pos="0"/>
          <w:tab w:val="left" w:pos="720"/>
        </w:tabs>
        <w:rPr>
          <w:color w:val="333333"/>
        </w:rPr>
      </w:pPr>
      <w:r w:rsidRPr="52EA7091">
        <w:rPr>
          <w:rFonts w:ascii="Calibri" w:eastAsia="Calibri" w:hAnsi="Calibri" w:cs="Calibri"/>
          <w:color w:val="333333"/>
        </w:rPr>
        <w:t xml:space="preserve">If an individual elects not to participate in the WRS, any sick leave hours earned will </w:t>
      </w:r>
      <w:r w:rsidRPr="007D3234">
        <w:rPr>
          <w:rFonts w:ascii="Calibri" w:eastAsia="Calibri" w:hAnsi="Calibri" w:cs="Calibri"/>
          <w:b/>
          <w:bCs/>
          <w:color w:val="333333"/>
        </w:rPr>
        <w:t>not</w:t>
      </w:r>
      <w:r w:rsidRPr="52EA7091">
        <w:rPr>
          <w:rFonts w:ascii="Calibri" w:eastAsia="Calibri" w:hAnsi="Calibri" w:cs="Calibri"/>
          <w:color w:val="333333"/>
        </w:rPr>
        <w:t xml:space="preserve"> be credited to their retiree sick leave credit account upon re-retirement</w:t>
      </w:r>
    </w:p>
    <w:p w14:paraId="226C6917" w14:textId="77777777" w:rsidR="00B77BF4" w:rsidRPr="00DA64D2" w:rsidRDefault="00B77BF4" w:rsidP="00FA1A1A">
      <w:pPr>
        <w:pStyle w:val="Default"/>
        <w:rPr>
          <w:rFonts w:asciiTheme="minorHAnsi" w:hAnsiTheme="minorHAnsi"/>
          <w:color w:val="auto"/>
          <w:sz w:val="22"/>
          <w:szCs w:val="22"/>
        </w:rPr>
      </w:pPr>
      <w:r w:rsidRPr="00DA64D2">
        <w:rPr>
          <w:rFonts w:asciiTheme="minorHAnsi" w:hAnsiTheme="minorHAnsi"/>
          <w:color w:val="auto"/>
          <w:sz w:val="22"/>
          <w:szCs w:val="22"/>
        </w:rPr>
        <w:t xml:space="preserve">If an individual is covered by the WRS, </w:t>
      </w:r>
      <w:r>
        <w:rPr>
          <w:rFonts w:asciiTheme="minorHAnsi" w:hAnsiTheme="minorHAnsi"/>
          <w:color w:val="auto"/>
          <w:sz w:val="22"/>
          <w:szCs w:val="22"/>
        </w:rPr>
        <w:t>they are</w:t>
      </w:r>
      <w:r w:rsidRPr="00DA64D2">
        <w:rPr>
          <w:rFonts w:asciiTheme="minorHAnsi" w:hAnsiTheme="minorHAnsi"/>
          <w:color w:val="auto"/>
          <w:sz w:val="22"/>
          <w:szCs w:val="22"/>
        </w:rPr>
        <w:t xml:space="preserve"> eligible for the following benefits: </w:t>
      </w:r>
    </w:p>
    <w:p w14:paraId="340859BE" w14:textId="56913364" w:rsidR="00B77BF4" w:rsidRPr="00DA64D2" w:rsidRDefault="52EA7091" w:rsidP="52EA7091">
      <w:pPr>
        <w:pStyle w:val="Default"/>
        <w:numPr>
          <w:ilvl w:val="0"/>
          <w:numId w:val="18"/>
        </w:numPr>
        <w:rPr>
          <w:rFonts w:asciiTheme="minorHAnsi" w:hAnsiTheme="minorHAnsi" w:cstheme="minorBidi"/>
          <w:color w:val="auto"/>
          <w:sz w:val="22"/>
          <w:szCs w:val="22"/>
        </w:rPr>
      </w:pPr>
      <w:r w:rsidRPr="52EA7091">
        <w:rPr>
          <w:rFonts w:asciiTheme="minorHAnsi" w:hAnsiTheme="minorHAnsi"/>
          <w:color w:val="auto"/>
          <w:sz w:val="22"/>
          <w:szCs w:val="22"/>
        </w:rPr>
        <w:t xml:space="preserve">All benefits offered to active </w:t>
      </w:r>
      <w:r w:rsidRPr="52EA7091">
        <w:rPr>
          <w:rFonts w:ascii="Calibri" w:eastAsia="Calibri" w:hAnsi="Calibri" w:cs="Calibri"/>
          <w:color w:val="333333"/>
          <w:sz w:val="22"/>
          <w:szCs w:val="22"/>
        </w:rPr>
        <w:t xml:space="preserve">employees in the same position </w:t>
      </w:r>
      <w:r w:rsidRPr="52EA7091">
        <w:rPr>
          <w:rFonts w:asciiTheme="minorHAnsi" w:hAnsiTheme="minorHAnsi"/>
          <w:color w:val="auto"/>
          <w:sz w:val="22"/>
          <w:szCs w:val="22"/>
        </w:rPr>
        <w:t xml:space="preserve">(except University Insurance </w:t>
      </w:r>
    </w:p>
    <w:p w14:paraId="402F48CD" w14:textId="4ADF33BC" w:rsidR="450C5EE5" w:rsidRDefault="361D6461" w:rsidP="456B10EA">
      <w:pPr>
        <w:spacing w:line="240" w:lineRule="auto"/>
        <w:ind w:left="720"/>
      </w:pPr>
      <w:r>
        <w:t xml:space="preserve">Association life insurance (UIA)) </w:t>
      </w:r>
    </w:p>
    <w:p w14:paraId="76D696C5" w14:textId="0011CA0E" w:rsidR="456B10EA" w:rsidRPr="009D3B81" w:rsidRDefault="077F961D" w:rsidP="077F961D">
      <w:pPr>
        <w:spacing w:line="240" w:lineRule="auto"/>
        <w:rPr>
          <w:rFonts w:cs="Arial"/>
        </w:rPr>
      </w:pPr>
      <w:r w:rsidRPr="077F961D">
        <w:rPr>
          <w:rFonts w:cs="Arial"/>
        </w:rPr>
        <w:t>If the rehired annuitant is eligible for and is choosing to come under WRS or is being compelled to come under the WRS, it is required to submit either enrollment or waiver forms for State Group Health, State Group Life, and Income Continuation Insurance. These applications are usually submitted with the</w:t>
      </w:r>
      <w:r w:rsidRPr="077F961D">
        <w:rPr>
          <w:rFonts w:ascii="Calibri" w:eastAsia="Calibri" w:hAnsi="Calibri" w:cs="Calibri"/>
          <w:color w:val="00B050"/>
        </w:rPr>
        <w:t xml:space="preserve"> </w:t>
      </w:r>
      <w:hyperlink r:id="rId18">
        <w:r w:rsidRPr="077F961D">
          <w:rPr>
            <w:rStyle w:val="Hyperlink"/>
            <w:rFonts w:ascii="Calibri" w:eastAsia="Calibri" w:hAnsi="Calibri" w:cs="Calibri"/>
            <w:i/>
            <w:iCs/>
          </w:rPr>
          <w:t>Rehired Annuitant Form</w:t>
        </w:r>
      </w:hyperlink>
      <w:r w:rsidRPr="077F961D">
        <w:rPr>
          <w:rFonts w:ascii="Calibri" w:eastAsia="Calibri" w:hAnsi="Calibri" w:cs="Calibri"/>
          <w:color w:val="00B050"/>
        </w:rPr>
        <w:t xml:space="preserve"> </w:t>
      </w:r>
      <w:r w:rsidRPr="077F961D">
        <w:rPr>
          <w:rFonts w:ascii="Calibri" w:eastAsia="Calibri" w:hAnsi="Calibri" w:cs="Calibri"/>
        </w:rPr>
        <w:t>(</w:t>
      </w:r>
      <w:r w:rsidRPr="077F961D">
        <w:rPr>
          <w:rFonts w:cs="Arial"/>
        </w:rPr>
        <w:t xml:space="preserve">ET-2319). Effective dates of coverage are determined by ETF. Further details on effective dates of coverage can be found on the </w:t>
      </w:r>
      <w:r w:rsidRPr="077F961D">
        <w:rPr>
          <w:rFonts w:cs="Arial"/>
          <w:i/>
          <w:iCs/>
        </w:rPr>
        <w:t xml:space="preserve">Rehired Annuitant Form </w:t>
      </w:r>
      <w:r w:rsidRPr="077F961D">
        <w:rPr>
          <w:rFonts w:cs="Arial"/>
        </w:rPr>
        <w:t xml:space="preserve">(ET-2319). </w:t>
      </w:r>
    </w:p>
    <w:p w14:paraId="6E6A46FA" w14:textId="261BD07B" w:rsidR="456B10EA" w:rsidRDefault="456B10EA" w:rsidP="456B10EA">
      <w:pPr>
        <w:spacing w:line="240" w:lineRule="auto"/>
        <w:rPr>
          <w:rFonts w:ascii="Calibri" w:eastAsia="Calibri" w:hAnsi="Calibri" w:cs="Calibri"/>
        </w:rPr>
      </w:pPr>
    </w:p>
    <w:p w14:paraId="063DDF5C" w14:textId="77777777" w:rsidR="00B77BF4" w:rsidRPr="00DA64D2" w:rsidRDefault="00B77BF4" w:rsidP="00D45814">
      <w:pPr>
        <w:pStyle w:val="Heading2"/>
      </w:pPr>
      <w:r w:rsidRPr="00DA64D2">
        <w:t>Paid Leave</w:t>
      </w:r>
    </w:p>
    <w:p w14:paraId="0EAE721D" w14:textId="210E7A1B" w:rsidR="00B77BF4" w:rsidRPr="00DA64D2" w:rsidRDefault="52EA7091" w:rsidP="00FA1A1A">
      <w:pPr>
        <w:spacing w:line="240" w:lineRule="auto"/>
      </w:pPr>
      <w:r>
        <w:t xml:space="preserve">A rehired annuitant may be eligible for paid leave benefits. A rehired annuitant must meet the same paid leave eligibility requirements as active employees (see </w:t>
      </w:r>
      <w:hyperlink r:id="rId19">
        <w:r w:rsidRPr="52EA7091">
          <w:rPr>
            <w:rStyle w:val="Hyperlink"/>
          </w:rPr>
          <w:t>Leave Benefits</w:t>
        </w:r>
      </w:hyperlink>
      <w:r>
        <w:t xml:space="preserve"> for eligibility requirements). Only time worked as a rehired annuitant is used to determine paid leave eligibility. WRS coverage is not required to earn paid leave benefits.</w:t>
      </w:r>
    </w:p>
    <w:p w14:paraId="555C8406" w14:textId="77777777" w:rsidR="00B77BF4" w:rsidRPr="00DA64D2" w:rsidRDefault="00B77BF4" w:rsidP="00D45814">
      <w:pPr>
        <w:pStyle w:val="Heading2"/>
      </w:pPr>
      <w:r w:rsidRPr="00DA64D2">
        <w:t>Titles and Appointments for Re-employed Annuitants</w:t>
      </w:r>
    </w:p>
    <w:p w14:paraId="265C494A" w14:textId="6A19CD07" w:rsidR="00B77BF4" w:rsidRPr="00DA64D2" w:rsidRDefault="525A03D0" w:rsidP="00FA1A1A">
      <w:pPr>
        <w:spacing w:line="240" w:lineRule="auto"/>
      </w:pPr>
      <w:r>
        <w:t xml:space="preserve">Academic staff, Limited appointees, or University Staff who retire may be appointed to a new appointment via PVL waiver (fixed-term terminal indicating a specific end date) using a title appropriate to the duties to be performed. They may also be appointed via an open recruitment. </w:t>
      </w:r>
    </w:p>
    <w:p w14:paraId="4C412AF0" w14:textId="5558B59C" w:rsidR="00232410" w:rsidRDefault="00C67EBF" w:rsidP="00FA1A1A">
      <w:pPr>
        <w:spacing w:line="240" w:lineRule="auto"/>
      </w:pPr>
      <w:r>
        <w:t xml:space="preserve">FYI: For </w:t>
      </w:r>
      <w:r w:rsidR="00B77BF4" w:rsidRPr="00DA64D2">
        <w:t>Academic staff or limited appointees who retire and are granted emerita/emeritus</w:t>
      </w:r>
      <w:r>
        <w:t>, t</w:t>
      </w:r>
      <w:r w:rsidR="00B77BF4" w:rsidRPr="00DA64D2">
        <w:t>he emeritus/emerita status is tied to the appointment from which they retired.</w:t>
      </w:r>
    </w:p>
    <w:p w14:paraId="5B1F2845" w14:textId="075190AD" w:rsidR="00232410" w:rsidRPr="00232410" w:rsidRDefault="00C4375C" w:rsidP="00D45814">
      <w:pPr>
        <w:pStyle w:val="Heading2"/>
      </w:pPr>
      <w:r>
        <w:lastRenderedPageBreak/>
        <w:t>Percentage at Which Employee Must Suspend Annuity</w:t>
      </w:r>
    </w:p>
    <w:p w14:paraId="0B01A6CF" w14:textId="4C22055B" w:rsidR="00232410" w:rsidRDefault="00C4375C" w:rsidP="00232410">
      <w:r>
        <w:t xml:space="preserve">If candidate is expected to work one year or longer, they may be required to suspend their annuity and come back under the WRS depending on the number of hours worked.   </w:t>
      </w:r>
    </w:p>
    <w:tbl>
      <w:tblPr>
        <w:tblStyle w:val="TableGrid"/>
        <w:tblW w:w="0" w:type="auto"/>
        <w:tblLayout w:type="fixed"/>
        <w:tblLook w:val="06A0" w:firstRow="1" w:lastRow="0" w:firstColumn="1" w:lastColumn="0" w:noHBand="1" w:noVBand="1"/>
      </w:tblPr>
      <w:tblGrid>
        <w:gridCol w:w="3360"/>
        <w:gridCol w:w="3360"/>
        <w:gridCol w:w="3360"/>
      </w:tblGrid>
      <w:tr w:rsidR="00C4375C" w14:paraId="184CD189" w14:textId="77777777" w:rsidTr="00C4375C">
        <w:tc>
          <w:tcPr>
            <w:tcW w:w="3360" w:type="dxa"/>
          </w:tcPr>
          <w:p w14:paraId="6403D26A" w14:textId="1A2EE519" w:rsidR="00C4375C" w:rsidRDefault="00C4375C" w:rsidP="00C4375C"/>
        </w:tc>
        <w:tc>
          <w:tcPr>
            <w:tcW w:w="3360" w:type="dxa"/>
          </w:tcPr>
          <w:p w14:paraId="0CC17179" w14:textId="5DE62A05" w:rsidR="00C4375C" w:rsidRDefault="00C4375C" w:rsidP="00C4375C">
            <w:r>
              <w:t>WRS termination date was prior to July 2, 2013</w:t>
            </w:r>
          </w:p>
        </w:tc>
        <w:tc>
          <w:tcPr>
            <w:tcW w:w="3360" w:type="dxa"/>
          </w:tcPr>
          <w:p w14:paraId="61883784" w14:textId="66DE7C05" w:rsidR="00C4375C" w:rsidRDefault="00C4375C" w:rsidP="00C4375C">
            <w:r>
              <w:t>WRS termination date on or after July 2, 2013</w:t>
            </w:r>
          </w:p>
        </w:tc>
      </w:tr>
      <w:tr w:rsidR="00C4375C" w14:paraId="65A2CC29" w14:textId="77777777" w:rsidTr="00C4375C">
        <w:tc>
          <w:tcPr>
            <w:tcW w:w="3360" w:type="dxa"/>
          </w:tcPr>
          <w:p w14:paraId="56E1E05D" w14:textId="2CB20284" w:rsidR="00C4375C" w:rsidRDefault="00C4375C" w:rsidP="00C4375C">
            <w:r>
              <w:t>University Staff</w:t>
            </w:r>
          </w:p>
        </w:tc>
        <w:tc>
          <w:tcPr>
            <w:tcW w:w="3360" w:type="dxa"/>
          </w:tcPr>
          <w:p w14:paraId="423357EB" w14:textId="6DE631A1" w:rsidR="00C4375C" w:rsidRDefault="00C4375C" w:rsidP="00C4375C">
            <w:r>
              <w:t>N/A - no limit to hours</w:t>
            </w:r>
          </w:p>
        </w:tc>
        <w:tc>
          <w:tcPr>
            <w:tcW w:w="3360" w:type="dxa"/>
          </w:tcPr>
          <w:p w14:paraId="5C56F491" w14:textId="32514EFA" w:rsidR="00C4375C" w:rsidRDefault="00C4375C" w:rsidP="00C4375C">
            <w:r>
              <w:t>58% appointment (1200 hours)</w:t>
            </w:r>
          </w:p>
        </w:tc>
      </w:tr>
      <w:tr w:rsidR="00C4375C" w14:paraId="76A2CD16" w14:textId="77777777" w:rsidTr="00C4375C">
        <w:tc>
          <w:tcPr>
            <w:tcW w:w="3360" w:type="dxa"/>
          </w:tcPr>
          <w:p w14:paraId="52AAB799" w14:textId="01B3D5CA" w:rsidR="00C4375C" w:rsidRDefault="00C4375C" w:rsidP="00C4375C">
            <w:r>
              <w:t>Faculty, Academic Staff, Limited – A basis</w:t>
            </w:r>
          </w:p>
        </w:tc>
        <w:tc>
          <w:tcPr>
            <w:tcW w:w="3360" w:type="dxa"/>
          </w:tcPr>
          <w:p w14:paraId="49079890" w14:textId="231AA9B4" w:rsidR="00C4375C" w:rsidRDefault="00C4375C" w:rsidP="00C4375C">
            <w:r>
              <w:t>N/A - no limit to hours</w:t>
            </w:r>
          </w:p>
        </w:tc>
        <w:tc>
          <w:tcPr>
            <w:tcW w:w="3360" w:type="dxa"/>
          </w:tcPr>
          <w:p w14:paraId="382A2247" w14:textId="1B94A269" w:rsidR="00C4375C" w:rsidRDefault="00C4375C" w:rsidP="00C4375C">
            <w:r>
              <w:t>42% (880 hours)</w:t>
            </w:r>
          </w:p>
        </w:tc>
      </w:tr>
      <w:tr w:rsidR="00C4375C" w14:paraId="231CE160" w14:textId="77777777" w:rsidTr="00C4375C">
        <w:tc>
          <w:tcPr>
            <w:tcW w:w="3360" w:type="dxa"/>
          </w:tcPr>
          <w:p w14:paraId="47282E6C" w14:textId="434E9FCE" w:rsidR="00C4375C" w:rsidRDefault="00C4375C" w:rsidP="00C4375C">
            <w:r>
              <w:t>Faculty, Academic Staff, Limited – C basis</w:t>
            </w:r>
          </w:p>
        </w:tc>
        <w:tc>
          <w:tcPr>
            <w:tcW w:w="3360" w:type="dxa"/>
          </w:tcPr>
          <w:p w14:paraId="6A3F142A" w14:textId="47822A50" w:rsidR="00C4375C" w:rsidRDefault="00C4375C" w:rsidP="00C4375C">
            <w:r>
              <w:t>N/A - no limit to hours</w:t>
            </w:r>
          </w:p>
        </w:tc>
        <w:tc>
          <w:tcPr>
            <w:tcW w:w="3360" w:type="dxa"/>
          </w:tcPr>
          <w:p w14:paraId="3FD93026" w14:textId="370F9F1A" w:rsidR="00C4375C" w:rsidRDefault="00C4375C" w:rsidP="00C4375C">
            <w:r>
              <w:t>56% (880 hours)</w:t>
            </w:r>
          </w:p>
        </w:tc>
      </w:tr>
      <w:tr w:rsidR="00C4375C" w14:paraId="7209D54F" w14:textId="77777777" w:rsidTr="00C4375C">
        <w:tc>
          <w:tcPr>
            <w:tcW w:w="3360" w:type="dxa"/>
          </w:tcPr>
          <w:p w14:paraId="7D702F51" w14:textId="51EBA990" w:rsidR="00C4375C" w:rsidRDefault="00C4375C" w:rsidP="00C4375C">
            <w:r>
              <w:t>Faculty, Academic Staff, Limited – Lump Sum</w:t>
            </w:r>
          </w:p>
        </w:tc>
        <w:tc>
          <w:tcPr>
            <w:tcW w:w="3360" w:type="dxa"/>
          </w:tcPr>
          <w:p w14:paraId="6E084959" w14:textId="14A32388" w:rsidR="00C4375C" w:rsidRDefault="00C4375C" w:rsidP="00C4375C">
            <w:r>
              <w:t>N/A - no limit to hours</w:t>
            </w:r>
          </w:p>
        </w:tc>
        <w:tc>
          <w:tcPr>
            <w:tcW w:w="3360" w:type="dxa"/>
          </w:tcPr>
          <w:p w14:paraId="4869BBB6" w14:textId="4E692A34" w:rsidR="00C4375C" w:rsidRDefault="00C4375C" w:rsidP="00C4375C">
            <w:r>
              <w:t xml:space="preserve">880 hours </w:t>
            </w:r>
          </w:p>
        </w:tc>
      </w:tr>
    </w:tbl>
    <w:p w14:paraId="71CB1CDF" w14:textId="79F5F797" w:rsidR="00B77BF4" w:rsidRPr="00DA64D2" w:rsidRDefault="00C4375C" w:rsidP="676E5498">
      <w:pPr>
        <w:spacing w:after="160" w:line="259" w:lineRule="auto"/>
        <w:rPr>
          <w:rFonts w:ascii="Calibri" w:eastAsia="Calibri" w:hAnsi="Calibri" w:cs="Calibri"/>
          <w:color w:val="000000" w:themeColor="text1"/>
        </w:rPr>
      </w:pPr>
      <w:r w:rsidRPr="00C4375C">
        <w:rPr>
          <w:rFonts w:ascii="Calibri" w:eastAsia="Calibri" w:hAnsi="Calibri" w:cs="Calibri"/>
          <w:color w:val="000000" w:themeColor="text1"/>
        </w:rPr>
        <w:t xml:space="preserve">Example of concurrent appointments: </w:t>
      </w:r>
    </w:p>
    <w:p w14:paraId="7AE9DE2C" w14:textId="78A121F6" w:rsidR="00B77BF4" w:rsidRPr="00DA64D2" w:rsidRDefault="00C4375C" w:rsidP="00C4375C">
      <w:pPr>
        <w:spacing w:after="160" w:line="259" w:lineRule="auto"/>
        <w:rPr>
          <w:rFonts w:ascii="Calibri" w:eastAsia="Calibri" w:hAnsi="Calibri" w:cs="Calibri"/>
          <w:color w:val="000000" w:themeColor="text1"/>
        </w:rPr>
      </w:pPr>
      <w:r w:rsidRPr="00C4375C">
        <w:rPr>
          <w:rFonts w:ascii="Calibri" w:eastAsia="Calibri" w:hAnsi="Calibri" w:cs="Calibri"/>
          <w:color w:val="000000" w:themeColor="text1"/>
        </w:rPr>
        <w:t xml:space="preserve">A rehired annuitant with a WRS termination date on or after July 2, </w:t>
      </w:r>
      <w:proofErr w:type="gramStart"/>
      <w:r w:rsidRPr="00C4375C">
        <w:rPr>
          <w:rFonts w:ascii="Calibri" w:eastAsia="Calibri" w:hAnsi="Calibri" w:cs="Calibri"/>
          <w:color w:val="000000" w:themeColor="text1"/>
        </w:rPr>
        <w:t>2013</w:t>
      </w:r>
      <w:proofErr w:type="gramEnd"/>
      <w:r w:rsidRPr="00C4375C">
        <w:rPr>
          <w:rFonts w:ascii="Calibri" w:eastAsia="Calibri" w:hAnsi="Calibri" w:cs="Calibri"/>
          <w:color w:val="000000" w:themeColor="text1"/>
        </w:rPr>
        <w:t xml:space="preserve"> was hired into an appointment with the following details: </w:t>
      </w:r>
    </w:p>
    <w:p w14:paraId="18A4857F" w14:textId="18FCA613" w:rsidR="00B77BF4" w:rsidRPr="00DA64D2" w:rsidRDefault="676E5498" w:rsidP="676E5498">
      <w:pPr>
        <w:pStyle w:val="ListParagraph"/>
        <w:numPr>
          <w:ilvl w:val="0"/>
          <w:numId w:val="4"/>
        </w:numPr>
        <w:spacing w:after="160" w:line="259" w:lineRule="auto"/>
        <w:rPr>
          <w:color w:val="000000" w:themeColor="text1"/>
        </w:rPr>
      </w:pPr>
      <w:r w:rsidRPr="676E5498">
        <w:rPr>
          <w:rFonts w:ascii="Calibri" w:eastAsia="Calibri" w:hAnsi="Calibri" w:cs="Calibri"/>
          <w:color w:val="000000" w:themeColor="text1"/>
        </w:rPr>
        <w:t>Employment Classification: Academic Staff</w:t>
      </w:r>
    </w:p>
    <w:p w14:paraId="1F979CBC" w14:textId="48E220BC" w:rsidR="00B77BF4" w:rsidRPr="00DA64D2" w:rsidRDefault="676E5498" w:rsidP="676E5498">
      <w:pPr>
        <w:pStyle w:val="ListParagraph"/>
        <w:numPr>
          <w:ilvl w:val="0"/>
          <w:numId w:val="4"/>
        </w:numPr>
        <w:spacing w:after="160" w:line="259" w:lineRule="auto"/>
        <w:rPr>
          <w:color w:val="000000" w:themeColor="text1"/>
        </w:rPr>
      </w:pPr>
      <w:r w:rsidRPr="676E5498">
        <w:rPr>
          <w:rFonts w:ascii="Calibri" w:eastAsia="Calibri" w:hAnsi="Calibri" w:cs="Calibri"/>
          <w:color w:val="000000" w:themeColor="text1"/>
        </w:rPr>
        <w:t>FTE: 40% with an expectation of 832 hours reported per year</w:t>
      </w:r>
    </w:p>
    <w:p w14:paraId="61A4D0CA" w14:textId="59B15B0F" w:rsidR="00B77BF4" w:rsidRPr="00DA64D2" w:rsidRDefault="676E5498" w:rsidP="676E5498">
      <w:pPr>
        <w:pStyle w:val="ListParagraph"/>
        <w:numPr>
          <w:ilvl w:val="0"/>
          <w:numId w:val="4"/>
        </w:numPr>
        <w:spacing w:after="160" w:line="259" w:lineRule="auto"/>
        <w:rPr>
          <w:color w:val="000000" w:themeColor="text1"/>
        </w:rPr>
      </w:pPr>
      <w:r w:rsidRPr="676E5498">
        <w:rPr>
          <w:rFonts w:ascii="Calibri" w:eastAsia="Calibri" w:hAnsi="Calibri" w:cs="Calibri"/>
          <w:color w:val="000000" w:themeColor="text1"/>
        </w:rPr>
        <w:t>Pay Basis: Annual</w:t>
      </w:r>
    </w:p>
    <w:p w14:paraId="0890AC73" w14:textId="564F62E4" w:rsidR="00B77BF4" w:rsidRPr="00DA64D2" w:rsidRDefault="676E5498" w:rsidP="676E5498">
      <w:pPr>
        <w:pStyle w:val="ListParagraph"/>
        <w:numPr>
          <w:ilvl w:val="0"/>
          <w:numId w:val="4"/>
        </w:numPr>
        <w:spacing w:after="160" w:line="259" w:lineRule="auto"/>
        <w:rPr>
          <w:color w:val="000000" w:themeColor="text1"/>
        </w:rPr>
      </w:pPr>
      <w:r w:rsidRPr="676E5498">
        <w:rPr>
          <w:rFonts w:ascii="Calibri" w:eastAsia="Calibri" w:hAnsi="Calibri" w:cs="Calibri"/>
          <w:color w:val="000000" w:themeColor="text1"/>
        </w:rPr>
        <w:t>Duration: 1-year</w:t>
      </w:r>
    </w:p>
    <w:p w14:paraId="5B006032" w14:textId="34224709" w:rsidR="00B77BF4" w:rsidRPr="00DA64D2" w:rsidRDefault="676E5498" w:rsidP="676E5498">
      <w:pPr>
        <w:pStyle w:val="ListParagraph"/>
        <w:numPr>
          <w:ilvl w:val="0"/>
          <w:numId w:val="4"/>
        </w:numPr>
        <w:spacing w:after="160" w:line="259" w:lineRule="auto"/>
        <w:rPr>
          <w:color w:val="000000" w:themeColor="text1"/>
        </w:rPr>
      </w:pPr>
      <w:r w:rsidRPr="676E5498">
        <w:rPr>
          <w:rFonts w:ascii="Calibri" w:eastAsia="Calibri" w:hAnsi="Calibri" w:cs="Calibri"/>
          <w:color w:val="000000" w:themeColor="text1"/>
        </w:rPr>
        <w:t>Annual Salary: $50,000.00</w:t>
      </w:r>
    </w:p>
    <w:p w14:paraId="5D084678" w14:textId="532941F7" w:rsidR="00B77BF4" w:rsidRPr="00DA64D2" w:rsidRDefault="676E5498" w:rsidP="676E5498">
      <w:pPr>
        <w:spacing w:after="160" w:line="259" w:lineRule="auto"/>
        <w:rPr>
          <w:rFonts w:ascii="Calibri" w:eastAsia="Calibri" w:hAnsi="Calibri" w:cs="Calibri"/>
          <w:color w:val="000000" w:themeColor="text1"/>
        </w:rPr>
      </w:pPr>
      <w:r w:rsidRPr="676E5498">
        <w:rPr>
          <w:rFonts w:ascii="Calibri" w:eastAsia="Calibri" w:hAnsi="Calibri" w:cs="Calibri"/>
          <w:color w:val="000000" w:themeColor="text1"/>
        </w:rPr>
        <w:t xml:space="preserve">Since it is not expected that 880 hours of service will be required within this 12-month period, the rehired annuitant is not required to suspend their WRS annuity. However, if this same rehired annuitant accepts another appointment, this could make them meet 880 service hours and thus require them to suspend their WRS annuity. </w:t>
      </w:r>
    </w:p>
    <w:p w14:paraId="6B610DB9" w14:textId="04240522" w:rsidR="00B77BF4" w:rsidRPr="00DA64D2" w:rsidRDefault="79309630" w:rsidP="79309630">
      <w:pPr>
        <w:spacing w:after="160" w:line="259" w:lineRule="auto"/>
        <w:rPr>
          <w:rFonts w:ascii="Calibri" w:eastAsia="Calibri" w:hAnsi="Calibri" w:cs="Calibri"/>
          <w:color w:val="000000" w:themeColor="text1"/>
        </w:rPr>
      </w:pPr>
      <w:r w:rsidRPr="79309630">
        <w:rPr>
          <w:rFonts w:ascii="Calibri" w:eastAsia="Calibri" w:hAnsi="Calibri" w:cs="Calibri"/>
          <w:color w:val="000000" w:themeColor="text1"/>
        </w:rPr>
        <w:t xml:space="preserve">In addition to the appointment detailed above, this rehired annuitant accepts a concurrent Academic Staff appointment paid on a lump sum basis for 1-week. In this example the lump sum payment is $2,000.00. </w:t>
      </w:r>
    </w:p>
    <w:p w14:paraId="17AB08CA" w14:textId="74E595DB" w:rsidR="00B77BF4" w:rsidRPr="00DA64D2" w:rsidRDefault="79309630" w:rsidP="79309630">
      <w:pPr>
        <w:spacing w:after="160" w:line="259" w:lineRule="auto"/>
        <w:rPr>
          <w:rFonts w:ascii="Calibri" w:eastAsia="Calibri" w:hAnsi="Calibri" w:cs="Calibri"/>
          <w:color w:val="000000" w:themeColor="text1"/>
        </w:rPr>
      </w:pPr>
      <w:r w:rsidRPr="79309630">
        <w:rPr>
          <w:rFonts w:ascii="Calibri" w:eastAsia="Calibri" w:hAnsi="Calibri" w:cs="Calibri"/>
          <w:color w:val="000000" w:themeColor="text1"/>
        </w:rPr>
        <w:t xml:space="preserve">If the employee receiving a lump sum payment has another position in the same employment category (not job title), the rate from that similar position is divided into the lump sum payment to determine the number of creditable WRS service hours. If there are multiple positions in the same employment category, the lowest hourly rate will be used. Hourly rates are calculated by dividing the annual rate by 2,080 hours, regardless of the employment category and pay basis. </w:t>
      </w:r>
    </w:p>
    <w:p w14:paraId="22A38995" w14:textId="4504DAB0" w:rsidR="00B77BF4" w:rsidRPr="00DA64D2" w:rsidRDefault="676E5498" w:rsidP="676E5498">
      <w:pPr>
        <w:pStyle w:val="ListParagraph"/>
        <w:numPr>
          <w:ilvl w:val="0"/>
          <w:numId w:val="3"/>
        </w:numPr>
        <w:spacing w:after="160" w:line="259" w:lineRule="auto"/>
        <w:rPr>
          <w:color w:val="000000" w:themeColor="text1"/>
        </w:rPr>
      </w:pPr>
      <w:r w:rsidRPr="676E5498">
        <w:rPr>
          <w:rFonts w:ascii="Calibri" w:eastAsia="Calibri" w:hAnsi="Calibri" w:cs="Calibri"/>
          <w:color w:val="000000" w:themeColor="text1"/>
        </w:rPr>
        <w:t>In this example we take the $50,000.00 annual rate / 2,080 hours = $24.04 hourly rate</w:t>
      </w:r>
    </w:p>
    <w:p w14:paraId="152C3D13" w14:textId="75BC703E" w:rsidR="00B77BF4" w:rsidRPr="00DA64D2" w:rsidRDefault="676E5498" w:rsidP="676E5498">
      <w:pPr>
        <w:pStyle w:val="ListParagraph"/>
        <w:numPr>
          <w:ilvl w:val="0"/>
          <w:numId w:val="3"/>
        </w:numPr>
        <w:spacing w:after="160" w:line="259" w:lineRule="auto"/>
        <w:rPr>
          <w:color w:val="000000" w:themeColor="text1"/>
        </w:rPr>
      </w:pPr>
      <w:r w:rsidRPr="676E5498">
        <w:rPr>
          <w:rFonts w:ascii="Calibri" w:eastAsia="Calibri" w:hAnsi="Calibri" w:cs="Calibri"/>
          <w:color w:val="000000" w:themeColor="text1"/>
        </w:rPr>
        <w:t>Then, take the lump sum amount of $2,000.00 and divide by the hourly rate of $24.04 = 83.19 service hours</w:t>
      </w:r>
    </w:p>
    <w:p w14:paraId="5E782C97" w14:textId="4429A8AF" w:rsidR="00B77BF4" w:rsidRPr="00DA64D2" w:rsidRDefault="79309630" w:rsidP="79309630">
      <w:pPr>
        <w:spacing w:after="160" w:line="259" w:lineRule="auto"/>
        <w:rPr>
          <w:rFonts w:ascii="Calibri" w:eastAsia="Calibri" w:hAnsi="Calibri" w:cs="Calibri"/>
          <w:color w:val="000000" w:themeColor="text1"/>
        </w:rPr>
      </w:pPr>
      <w:r w:rsidRPr="79309630">
        <w:rPr>
          <w:rFonts w:ascii="Calibri" w:eastAsia="Calibri" w:hAnsi="Calibri" w:cs="Calibri"/>
          <w:color w:val="000000" w:themeColor="text1"/>
        </w:rPr>
        <w:t xml:space="preserve">The expected 832 hours from the Academic Staff 40% FTE appointment + the 83.19 hours from the lump sum appointment = 915.19 service hours, which exceeds 880 service hours. </w:t>
      </w:r>
      <w:r w:rsidRPr="79309630">
        <w:rPr>
          <w:rFonts w:ascii="Calibri" w:eastAsia="Calibri" w:hAnsi="Calibri" w:cs="Calibri"/>
          <w:b/>
          <w:bCs/>
          <w:color w:val="000000" w:themeColor="text1"/>
        </w:rPr>
        <w:t>This individual is now required to suspend their WRS annuity.</w:t>
      </w:r>
      <w:r w:rsidRPr="79309630">
        <w:rPr>
          <w:rFonts w:ascii="Calibri" w:eastAsia="Calibri" w:hAnsi="Calibri" w:cs="Calibri"/>
          <w:color w:val="000000" w:themeColor="text1"/>
        </w:rPr>
        <w:t xml:space="preserve"> </w:t>
      </w:r>
    </w:p>
    <w:p w14:paraId="14B128AA" w14:textId="002E83EA" w:rsidR="00B77BF4" w:rsidRPr="00DA64D2" w:rsidRDefault="676E5498" w:rsidP="676E5498">
      <w:pPr>
        <w:spacing w:after="160" w:line="259" w:lineRule="auto"/>
        <w:rPr>
          <w:rFonts w:ascii="Calibri" w:eastAsia="Calibri" w:hAnsi="Calibri" w:cs="Calibri"/>
          <w:color w:val="000000" w:themeColor="text1"/>
        </w:rPr>
      </w:pPr>
      <w:r w:rsidRPr="676E5498">
        <w:rPr>
          <w:rFonts w:ascii="Calibri" w:eastAsia="Calibri" w:hAnsi="Calibri" w:cs="Calibri"/>
          <w:color w:val="000000" w:themeColor="text1"/>
        </w:rPr>
        <w:t xml:space="preserve">If the employee does not have a position in a similar employment category, then the WRS lump sum default hourly rate will be divided into the lump sum payment to determine the number of creditable WRS service hours. </w:t>
      </w:r>
      <w:r w:rsidR="00916B1D">
        <w:rPr>
          <w:rFonts w:ascii="Calibri" w:eastAsia="Calibri" w:hAnsi="Calibri" w:cs="Calibri"/>
          <w:color w:val="000000" w:themeColor="text1"/>
        </w:rPr>
        <w:t xml:space="preserve">Email </w:t>
      </w:r>
      <w:hyperlink r:id="rId20" w:history="1">
        <w:r w:rsidR="00916B1D" w:rsidRPr="00707AD3">
          <w:rPr>
            <w:rStyle w:val="Hyperlink"/>
            <w:rFonts w:ascii="Calibri" w:eastAsia="Calibri" w:hAnsi="Calibri" w:cs="Calibri"/>
          </w:rPr>
          <w:t>benefits@ohr.wisc.edu</w:t>
        </w:r>
      </w:hyperlink>
      <w:r w:rsidR="00916B1D">
        <w:rPr>
          <w:rFonts w:ascii="Calibri" w:eastAsia="Calibri" w:hAnsi="Calibri" w:cs="Calibri"/>
          <w:color w:val="000000" w:themeColor="text1"/>
        </w:rPr>
        <w:t xml:space="preserve"> to check current fiscal year lump sum default hourly rate.</w:t>
      </w:r>
    </w:p>
    <w:p w14:paraId="6670268F" w14:textId="4CA63FE0" w:rsidR="542EB95A" w:rsidRDefault="542EB95A" w:rsidP="542EB95A"/>
    <w:sectPr w:rsidR="542EB95A" w:rsidSect="005E3057">
      <w:footerReference w:type="default" r:id="rId21"/>
      <w:pgSz w:w="12240" w:h="15840" w:code="1"/>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FA7E" w14:textId="77777777" w:rsidR="009E708B" w:rsidRDefault="009E708B" w:rsidP="00346689">
      <w:pPr>
        <w:spacing w:after="0" w:line="240" w:lineRule="auto"/>
      </w:pPr>
      <w:r>
        <w:separator/>
      </w:r>
    </w:p>
  </w:endnote>
  <w:endnote w:type="continuationSeparator" w:id="0">
    <w:p w14:paraId="4D8AEEEF" w14:textId="77777777" w:rsidR="009E708B" w:rsidRDefault="009E708B" w:rsidP="0034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718942929"/>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75B47109" w14:textId="77777777" w:rsidR="00B77BF4" w:rsidRDefault="00B77BF4" w:rsidP="00B77BF4">
            <w:pPr>
              <w:pStyle w:val="Footer"/>
              <w:jc w:val="center"/>
              <w:rPr>
                <w:rFonts w:cstheme="minorHAnsi"/>
              </w:rPr>
            </w:pPr>
          </w:p>
          <w:p w14:paraId="26614B20" w14:textId="6F9E8023" w:rsidR="00B77BF4" w:rsidRPr="00D43E68" w:rsidRDefault="00B77BF4" w:rsidP="00B77BF4">
            <w:pPr>
              <w:pStyle w:val="Footer"/>
              <w:tabs>
                <w:tab w:val="clear" w:pos="9360"/>
                <w:tab w:val="right" w:pos="10080"/>
              </w:tabs>
              <w:rPr>
                <w:rFonts w:cstheme="minorHAnsi"/>
              </w:rPr>
            </w:pPr>
            <w:r>
              <w:tab/>
            </w:r>
            <w:r>
              <w:tab/>
            </w:r>
            <w:r>
              <w:rPr>
                <w:rFonts w:cstheme="minorHAnsi"/>
                <w:sz w:val="18"/>
                <w:szCs w:val="18"/>
              </w:rPr>
              <w:t xml:space="preserve">Last updated: </w:t>
            </w:r>
            <w:r w:rsidR="0015215E">
              <w:rPr>
                <w:rFonts w:cstheme="minorHAnsi"/>
                <w:sz w:val="18"/>
                <w:szCs w:val="18"/>
              </w:rPr>
              <w:t>4</w:t>
            </w:r>
            <w:r>
              <w:rPr>
                <w:rFonts w:cstheme="minorHAnsi"/>
                <w:sz w:val="18"/>
                <w:szCs w:val="18"/>
              </w:rPr>
              <w:t>.</w:t>
            </w:r>
            <w:r w:rsidR="0015215E">
              <w:rPr>
                <w:rFonts w:cstheme="minorHAnsi"/>
                <w:sz w:val="18"/>
                <w:szCs w:val="18"/>
              </w:rPr>
              <w:t>17</w:t>
            </w:r>
            <w:r>
              <w:rPr>
                <w:rFonts w:cstheme="minorHAnsi"/>
                <w:sz w:val="18"/>
                <w:szCs w:val="18"/>
              </w:rPr>
              <w:t>.202</w:t>
            </w:r>
            <w:r w:rsidR="0015215E">
              <w:rPr>
                <w:rFonts w:cstheme="minorHAnsi"/>
                <w:sz w:val="18"/>
                <w:szCs w:val="18"/>
              </w:rPr>
              <w:t>3</w:t>
            </w:r>
          </w:p>
          <w:p w14:paraId="7D8BD0FB" w14:textId="61862FB6" w:rsidR="00B77BF4" w:rsidRPr="00C21205" w:rsidRDefault="00B77BF4" w:rsidP="00B77BF4">
            <w:pPr>
              <w:pStyle w:val="Footer"/>
              <w:jc w:val="right"/>
              <w:rPr>
                <w:rFonts w:cstheme="minorHAnsi"/>
                <w:sz w:val="18"/>
                <w:szCs w:val="18"/>
              </w:rPr>
            </w:pPr>
            <w:r w:rsidRPr="00D43E68">
              <w:rPr>
                <w:rFonts w:cstheme="minorHAnsi"/>
                <w:sz w:val="18"/>
                <w:szCs w:val="18"/>
              </w:rPr>
              <w:t xml:space="preserve">Page </w:t>
            </w:r>
            <w:r w:rsidRPr="00D43E68">
              <w:rPr>
                <w:rFonts w:cstheme="minorHAnsi"/>
                <w:bCs/>
                <w:sz w:val="18"/>
                <w:szCs w:val="18"/>
              </w:rPr>
              <w:fldChar w:fldCharType="begin"/>
            </w:r>
            <w:r w:rsidRPr="00D43E68">
              <w:rPr>
                <w:rFonts w:cstheme="minorHAnsi"/>
                <w:bCs/>
                <w:sz w:val="18"/>
                <w:szCs w:val="18"/>
              </w:rPr>
              <w:instrText xml:space="preserve"> PAGE </w:instrText>
            </w:r>
            <w:r w:rsidRPr="00D43E68">
              <w:rPr>
                <w:rFonts w:cstheme="minorHAnsi"/>
                <w:bCs/>
                <w:sz w:val="18"/>
                <w:szCs w:val="18"/>
              </w:rPr>
              <w:fldChar w:fldCharType="separate"/>
            </w:r>
            <w:r>
              <w:rPr>
                <w:rFonts w:cstheme="minorHAnsi"/>
                <w:bCs/>
                <w:sz w:val="18"/>
                <w:szCs w:val="18"/>
              </w:rPr>
              <w:t>1</w:t>
            </w:r>
            <w:r w:rsidRPr="00D43E68">
              <w:rPr>
                <w:rFonts w:cstheme="minorHAnsi"/>
                <w:bCs/>
                <w:sz w:val="18"/>
                <w:szCs w:val="18"/>
              </w:rPr>
              <w:fldChar w:fldCharType="end"/>
            </w:r>
            <w:r w:rsidRPr="00D43E68">
              <w:rPr>
                <w:rFonts w:cstheme="minorHAnsi"/>
                <w:sz w:val="18"/>
                <w:szCs w:val="18"/>
              </w:rPr>
              <w:t xml:space="preserve"> of </w:t>
            </w:r>
            <w:r w:rsidRPr="00D43E68">
              <w:rPr>
                <w:rFonts w:cstheme="minorHAnsi"/>
                <w:bCs/>
                <w:sz w:val="18"/>
                <w:szCs w:val="18"/>
              </w:rPr>
              <w:fldChar w:fldCharType="begin"/>
            </w:r>
            <w:r w:rsidRPr="00D43E68">
              <w:rPr>
                <w:rFonts w:cstheme="minorHAnsi"/>
                <w:bCs/>
                <w:sz w:val="18"/>
                <w:szCs w:val="18"/>
              </w:rPr>
              <w:instrText xml:space="preserve"> NUMPAGES  </w:instrText>
            </w:r>
            <w:r w:rsidRPr="00D43E68">
              <w:rPr>
                <w:rFonts w:cstheme="minorHAnsi"/>
                <w:bCs/>
                <w:sz w:val="18"/>
                <w:szCs w:val="18"/>
              </w:rPr>
              <w:fldChar w:fldCharType="separate"/>
            </w:r>
            <w:r>
              <w:rPr>
                <w:rFonts w:cstheme="minorHAnsi"/>
                <w:bCs/>
                <w:sz w:val="18"/>
                <w:szCs w:val="18"/>
              </w:rPr>
              <w:t>2</w:t>
            </w:r>
            <w:r w:rsidRPr="00D43E68">
              <w:rPr>
                <w:rFonts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58DA" w14:textId="77777777" w:rsidR="009E708B" w:rsidRDefault="009E708B" w:rsidP="00346689">
      <w:pPr>
        <w:spacing w:after="0" w:line="240" w:lineRule="auto"/>
      </w:pPr>
      <w:r>
        <w:separator/>
      </w:r>
    </w:p>
  </w:footnote>
  <w:footnote w:type="continuationSeparator" w:id="0">
    <w:p w14:paraId="19FE3BE4" w14:textId="77777777" w:rsidR="009E708B" w:rsidRDefault="009E708B" w:rsidP="0034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64"/>
    <w:multiLevelType w:val="hybridMultilevel"/>
    <w:tmpl w:val="A8C2C1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EE1588"/>
    <w:multiLevelType w:val="hybridMultilevel"/>
    <w:tmpl w:val="595A2E8C"/>
    <w:lvl w:ilvl="0" w:tplc="0E58AF18">
      <w:start w:val="1"/>
      <w:numFmt w:val="bullet"/>
      <w:lvlText w:val=""/>
      <w:lvlJc w:val="left"/>
      <w:pPr>
        <w:ind w:left="720" w:hanging="360"/>
      </w:pPr>
      <w:rPr>
        <w:rFonts w:ascii="Symbol" w:hAnsi="Symbol" w:hint="default"/>
      </w:rPr>
    </w:lvl>
    <w:lvl w:ilvl="1" w:tplc="9940D69A">
      <w:start w:val="1"/>
      <w:numFmt w:val="bullet"/>
      <w:lvlText w:val=""/>
      <w:lvlJc w:val="left"/>
      <w:pPr>
        <w:ind w:left="1440" w:hanging="360"/>
      </w:pPr>
      <w:rPr>
        <w:rFonts w:ascii="Symbol" w:hAnsi="Symbol" w:hint="default"/>
      </w:rPr>
    </w:lvl>
    <w:lvl w:ilvl="2" w:tplc="92F8BAEC">
      <w:start w:val="1"/>
      <w:numFmt w:val="bullet"/>
      <w:lvlText w:val=""/>
      <w:lvlJc w:val="left"/>
      <w:pPr>
        <w:ind w:left="2160" w:hanging="360"/>
      </w:pPr>
      <w:rPr>
        <w:rFonts w:ascii="Wingdings" w:hAnsi="Wingdings" w:hint="default"/>
      </w:rPr>
    </w:lvl>
    <w:lvl w:ilvl="3" w:tplc="A44A3232">
      <w:start w:val="1"/>
      <w:numFmt w:val="bullet"/>
      <w:lvlText w:val=""/>
      <w:lvlJc w:val="left"/>
      <w:pPr>
        <w:ind w:left="2880" w:hanging="360"/>
      </w:pPr>
      <w:rPr>
        <w:rFonts w:ascii="Symbol" w:hAnsi="Symbol" w:hint="default"/>
      </w:rPr>
    </w:lvl>
    <w:lvl w:ilvl="4" w:tplc="00D8D6D2">
      <w:start w:val="1"/>
      <w:numFmt w:val="bullet"/>
      <w:lvlText w:val="o"/>
      <w:lvlJc w:val="left"/>
      <w:pPr>
        <w:ind w:left="3600" w:hanging="360"/>
      </w:pPr>
      <w:rPr>
        <w:rFonts w:ascii="Courier New" w:hAnsi="Courier New" w:hint="default"/>
      </w:rPr>
    </w:lvl>
    <w:lvl w:ilvl="5" w:tplc="CBAE7D9A">
      <w:start w:val="1"/>
      <w:numFmt w:val="bullet"/>
      <w:lvlText w:val=""/>
      <w:lvlJc w:val="left"/>
      <w:pPr>
        <w:ind w:left="4320" w:hanging="360"/>
      </w:pPr>
      <w:rPr>
        <w:rFonts w:ascii="Wingdings" w:hAnsi="Wingdings" w:hint="default"/>
      </w:rPr>
    </w:lvl>
    <w:lvl w:ilvl="6" w:tplc="0D8AAD4C">
      <w:start w:val="1"/>
      <w:numFmt w:val="bullet"/>
      <w:lvlText w:val=""/>
      <w:lvlJc w:val="left"/>
      <w:pPr>
        <w:ind w:left="5040" w:hanging="360"/>
      </w:pPr>
      <w:rPr>
        <w:rFonts w:ascii="Symbol" w:hAnsi="Symbol" w:hint="default"/>
      </w:rPr>
    </w:lvl>
    <w:lvl w:ilvl="7" w:tplc="F306EFAA">
      <w:start w:val="1"/>
      <w:numFmt w:val="bullet"/>
      <w:lvlText w:val="o"/>
      <w:lvlJc w:val="left"/>
      <w:pPr>
        <w:ind w:left="5760" w:hanging="360"/>
      </w:pPr>
      <w:rPr>
        <w:rFonts w:ascii="Courier New" w:hAnsi="Courier New" w:hint="default"/>
      </w:rPr>
    </w:lvl>
    <w:lvl w:ilvl="8" w:tplc="D5EA34E0">
      <w:start w:val="1"/>
      <w:numFmt w:val="bullet"/>
      <w:lvlText w:val=""/>
      <w:lvlJc w:val="left"/>
      <w:pPr>
        <w:ind w:left="6480" w:hanging="360"/>
      </w:pPr>
      <w:rPr>
        <w:rFonts w:ascii="Wingdings" w:hAnsi="Wingdings" w:hint="default"/>
      </w:rPr>
    </w:lvl>
  </w:abstractNum>
  <w:abstractNum w:abstractNumId="2" w15:restartNumberingAfterBreak="0">
    <w:nsid w:val="185A5E5A"/>
    <w:multiLevelType w:val="hybridMultilevel"/>
    <w:tmpl w:val="D6B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455F1"/>
    <w:multiLevelType w:val="hybridMultilevel"/>
    <w:tmpl w:val="B2DE8E74"/>
    <w:lvl w:ilvl="0" w:tplc="9760D642">
      <w:start w:val="1"/>
      <w:numFmt w:val="bullet"/>
      <w:lvlText w:val=""/>
      <w:lvlJc w:val="left"/>
      <w:pPr>
        <w:ind w:left="720" w:hanging="360"/>
      </w:pPr>
      <w:rPr>
        <w:rFonts w:ascii="Symbol" w:hAnsi="Symbol" w:hint="default"/>
      </w:rPr>
    </w:lvl>
    <w:lvl w:ilvl="1" w:tplc="293E7A06">
      <w:start w:val="1"/>
      <w:numFmt w:val="bullet"/>
      <w:lvlText w:val="o"/>
      <w:lvlJc w:val="left"/>
      <w:pPr>
        <w:ind w:left="1440" w:hanging="360"/>
      </w:pPr>
      <w:rPr>
        <w:rFonts w:ascii="Courier New" w:hAnsi="Courier New" w:hint="default"/>
      </w:rPr>
    </w:lvl>
    <w:lvl w:ilvl="2" w:tplc="B468A000">
      <w:start w:val="1"/>
      <w:numFmt w:val="bullet"/>
      <w:lvlText w:val=""/>
      <w:lvlJc w:val="left"/>
      <w:pPr>
        <w:ind w:left="2160" w:hanging="360"/>
      </w:pPr>
      <w:rPr>
        <w:rFonts w:ascii="Wingdings" w:hAnsi="Wingdings" w:hint="default"/>
      </w:rPr>
    </w:lvl>
    <w:lvl w:ilvl="3" w:tplc="B0C063E6">
      <w:start w:val="1"/>
      <w:numFmt w:val="bullet"/>
      <w:lvlText w:val=""/>
      <w:lvlJc w:val="left"/>
      <w:pPr>
        <w:ind w:left="2880" w:hanging="360"/>
      </w:pPr>
      <w:rPr>
        <w:rFonts w:ascii="Symbol" w:hAnsi="Symbol" w:hint="default"/>
      </w:rPr>
    </w:lvl>
    <w:lvl w:ilvl="4" w:tplc="CFE406B6">
      <w:start w:val="1"/>
      <w:numFmt w:val="bullet"/>
      <w:lvlText w:val="o"/>
      <w:lvlJc w:val="left"/>
      <w:pPr>
        <w:ind w:left="3600" w:hanging="360"/>
      </w:pPr>
      <w:rPr>
        <w:rFonts w:ascii="Courier New" w:hAnsi="Courier New" w:hint="default"/>
      </w:rPr>
    </w:lvl>
    <w:lvl w:ilvl="5" w:tplc="D0644362">
      <w:start w:val="1"/>
      <w:numFmt w:val="bullet"/>
      <w:lvlText w:val=""/>
      <w:lvlJc w:val="left"/>
      <w:pPr>
        <w:ind w:left="4320" w:hanging="360"/>
      </w:pPr>
      <w:rPr>
        <w:rFonts w:ascii="Wingdings" w:hAnsi="Wingdings" w:hint="default"/>
      </w:rPr>
    </w:lvl>
    <w:lvl w:ilvl="6" w:tplc="59626F8E">
      <w:start w:val="1"/>
      <w:numFmt w:val="bullet"/>
      <w:lvlText w:val=""/>
      <w:lvlJc w:val="left"/>
      <w:pPr>
        <w:ind w:left="5040" w:hanging="360"/>
      </w:pPr>
      <w:rPr>
        <w:rFonts w:ascii="Symbol" w:hAnsi="Symbol" w:hint="default"/>
      </w:rPr>
    </w:lvl>
    <w:lvl w:ilvl="7" w:tplc="17462E7E">
      <w:start w:val="1"/>
      <w:numFmt w:val="bullet"/>
      <w:lvlText w:val="o"/>
      <w:lvlJc w:val="left"/>
      <w:pPr>
        <w:ind w:left="5760" w:hanging="360"/>
      </w:pPr>
      <w:rPr>
        <w:rFonts w:ascii="Courier New" w:hAnsi="Courier New" w:hint="default"/>
      </w:rPr>
    </w:lvl>
    <w:lvl w:ilvl="8" w:tplc="13029102">
      <w:start w:val="1"/>
      <w:numFmt w:val="bullet"/>
      <w:lvlText w:val=""/>
      <w:lvlJc w:val="left"/>
      <w:pPr>
        <w:ind w:left="6480" w:hanging="360"/>
      </w:pPr>
      <w:rPr>
        <w:rFonts w:ascii="Wingdings" w:hAnsi="Wingdings" w:hint="default"/>
      </w:rPr>
    </w:lvl>
  </w:abstractNum>
  <w:abstractNum w:abstractNumId="4" w15:restartNumberingAfterBreak="0">
    <w:nsid w:val="25C522AA"/>
    <w:multiLevelType w:val="hybridMultilevel"/>
    <w:tmpl w:val="6F3CE6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C6D5A"/>
    <w:multiLevelType w:val="hybridMultilevel"/>
    <w:tmpl w:val="B8E4B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625"/>
    <w:multiLevelType w:val="hybridMultilevel"/>
    <w:tmpl w:val="87DA3F94"/>
    <w:lvl w:ilvl="0" w:tplc="8CAC3F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92CA8"/>
    <w:multiLevelType w:val="hybridMultilevel"/>
    <w:tmpl w:val="0B702FAA"/>
    <w:lvl w:ilvl="0" w:tplc="0C1E1A74">
      <w:start w:val="1"/>
      <w:numFmt w:val="bullet"/>
      <w:lvlText w:val=""/>
      <w:lvlJc w:val="left"/>
      <w:pPr>
        <w:ind w:left="720" w:hanging="360"/>
      </w:pPr>
      <w:rPr>
        <w:rFonts w:ascii="Symbol" w:hAnsi="Symbol" w:hint="default"/>
      </w:rPr>
    </w:lvl>
    <w:lvl w:ilvl="1" w:tplc="241CCEDC">
      <w:start w:val="1"/>
      <w:numFmt w:val="bullet"/>
      <w:lvlText w:val="o"/>
      <w:lvlJc w:val="left"/>
      <w:pPr>
        <w:ind w:left="1440" w:hanging="360"/>
      </w:pPr>
      <w:rPr>
        <w:rFonts w:ascii="Courier New" w:hAnsi="Courier New" w:hint="default"/>
      </w:rPr>
    </w:lvl>
    <w:lvl w:ilvl="2" w:tplc="592412D2">
      <w:start w:val="1"/>
      <w:numFmt w:val="bullet"/>
      <w:lvlText w:val=""/>
      <w:lvlJc w:val="left"/>
      <w:pPr>
        <w:ind w:left="2160" w:hanging="360"/>
      </w:pPr>
      <w:rPr>
        <w:rFonts w:ascii="Wingdings" w:hAnsi="Wingdings" w:hint="default"/>
      </w:rPr>
    </w:lvl>
    <w:lvl w:ilvl="3" w:tplc="844E1B06">
      <w:start w:val="1"/>
      <w:numFmt w:val="bullet"/>
      <w:lvlText w:val=""/>
      <w:lvlJc w:val="left"/>
      <w:pPr>
        <w:ind w:left="2880" w:hanging="360"/>
      </w:pPr>
      <w:rPr>
        <w:rFonts w:ascii="Symbol" w:hAnsi="Symbol" w:hint="default"/>
      </w:rPr>
    </w:lvl>
    <w:lvl w:ilvl="4" w:tplc="016A7A56">
      <w:start w:val="1"/>
      <w:numFmt w:val="bullet"/>
      <w:lvlText w:val="o"/>
      <w:lvlJc w:val="left"/>
      <w:pPr>
        <w:ind w:left="3600" w:hanging="360"/>
      </w:pPr>
      <w:rPr>
        <w:rFonts w:ascii="Courier New" w:hAnsi="Courier New" w:hint="default"/>
      </w:rPr>
    </w:lvl>
    <w:lvl w:ilvl="5" w:tplc="C28CF1D6">
      <w:start w:val="1"/>
      <w:numFmt w:val="bullet"/>
      <w:lvlText w:val=""/>
      <w:lvlJc w:val="left"/>
      <w:pPr>
        <w:ind w:left="4320" w:hanging="360"/>
      </w:pPr>
      <w:rPr>
        <w:rFonts w:ascii="Wingdings" w:hAnsi="Wingdings" w:hint="default"/>
      </w:rPr>
    </w:lvl>
    <w:lvl w:ilvl="6" w:tplc="51C68492">
      <w:start w:val="1"/>
      <w:numFmt w:val="bullet"/>
      <w:lvlText w:val=""/>
      <w:lvlJc w:val="left"/>
      <w:pPr>
        <w:ind w:left="5040" w:hanging="360"/>
      </w:pPr>
      <w:rPr>
        <w:rFonts w:ascii="Symbol" w:hAnsi="Symbol" w:hint="default"/>
      </w:rPr>
    </w:lvl>
    <w:lvl w:ilvl="7" w:tplc="6C626900">
      <w:start w:val="1"/>
      <w:numFmt w:val="bullet"/>
      <w:lvlText w:val="o"/>
      <w:lvlJc w:val="left"/>
      <w:pPr>
        <w:ind w:left="5760" w:hanging="360"/>
      </w:pPr>
      <w:rPr>
        <w:rFonts w:ascii="Courier New" w:hAnsi="Courier New" w:hint="default"/>
      </w:rPr>
    </w:lvl>
    <w:lvl w:ilvl="8" w:tplc="A1B2B380">
      <w:start w:val="1"/>
      <w:numFmt w:val="bullet"/>
      <w:lvlText w:val=""/>
      <w:lvlJc w:val="left"/>
      <w:pPr>
        <w:ind w:left="6480" w:hanging="360"/>
      </w:pPr>
      <w:rPr>
        <w:rFonts w:ascii="Wingdings" w:hAnsi="Wingdings" w:hint="default"/>
      </w:rPr>
    </w:lvl>
  </w:abstractNum>
  <w:abstractNum w:abstractNumId="8" w15:restartNumberingAfterBreak="0">
    <w:nsid w:val="3EBC6160"/>
    <w:multiLevelType w:val="hybridMultilevel"/>
    <w:tmpl w:val="38F6937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3EEC2050"/>
    <w:multiLevelType w:val="hybridMultilevel"/>
    <w:tmpl w:val="A834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A3163"/>
    <w:multiLevelType w:val="hybridMultilevel"/>
    <w:tmpl w:val="E4BE1210"/>
    <w:lvl w:ilvl="0" w:tplc="8CAC3F44">
      <w:numFmt w:val="bullet"/>
      <w:lvlText w:val=""/>
      <w:lvlJc w:val="left"/>
      <w:pPr>
        <w:ind w:left="76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75C44FE"/>
    <w:multiLevelType w:val="hybridMultilevel"/>
    <w:tmpl w:val="7DE433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5D0941"/>
    <w:multiLevelType w:val="hybridMultilevel"/>
    <w:tmpl w:val="8CC4A324"/>
    <w:lvl w:ilvl="0" w:tplc="3918CAAC">
      <w:start w:val="1"/>
      <w:numFmt w:val="bullet"/>
      <w:lvlText w:val=""/>
      <w:lvlJc w:val="left"/>
      <w:pPr>
        <w:ind w:left="720" w:hanging="360"/>
      </w:pPr>
      <w:rPr>
        <w:rFonts w:ascii="Symbol" w:hAnsi="Symbol" w:hint="default"/>
      </w:rPr>
    </w:lvl>
    <w:lvl w:ilvl="1" w:tplc="A060324A">
      <w:start w:val="1"/>
      <w:numFmt w:val="bullet"/>
      <w:lvlText w:val="o"/>
      <w:lvlJc w:val="left"/>
      <w:pPr>
        <w:ind w:left="1440" w:hanging="360"/>
      </w:pPr>
      <w:rPr>
        <w:rFonts w:ascii="Courier New" w:hAnsi="Courier New" w:hint="default"/>
      </w:rPr>
    </w:lvl>
    <w:lvl w:ilvl="2" w:tplc="95D8FBA2">
      <w:start w:val="1"/>
      <w:numFmt w:val="bullet"/>
      <w:lvlText w:val=""/>
      <w:lvlJc w:val="left"/>
      <w:pPr>
        <w:ind w:left="2160" w:hanging="360"/>
      </w:pPr>
      <w:rPr>
        <w:rFonts w:ascii="Wingdings" w:hAnsi="Wingdings" w:hint="default"/>
      </w:rPr>
    </w:lvl>
    <w:lvl w:ilvl="3" w:tplc="0A54A936">
      <w:start w:val="1"/>
      <w:numFmt w:val="bullet"/>
      <w:lvlText w:val=""/>
      <w:lvlJc w:val="left"/>
      <w:pPr>
        <w:ind w:left="2880" w:hanging="360"/>
      </w:pPr>
      <w:rPr>
        <w:rFonts w:ascii="Symbol" w:hAnsi="Symbol" w:hint="default"/>
      </w:rPr>
    </w:lvl>
    <w:lvl w:ilvl="4" w:tplc="F78433D2">
      <w:start w:val="1"/>
      <w:numFmt w:val="bullet"/>
      <w:lvlText w:val="o"/>
      <w:lvlJc w:val="left"/>
      <w:pPr>
        <w:ind w:left="3600" w:hanging="360"/>
      </w:pPr>
      <w:rPr>
        <w:rFonts w:ascii="Courier New" w:hAnsi="Courier New" w:hint="default"/>
      </w:rPr>
    </w:lvl>
    <w:lvl w:ilvl="5" w:tplc="7778C006">
      <w:start w:val="1"/>
      <w:numFmt w:val="bullet"/>
      <w:lvlText w:val=""/>
      <w:lvlJc w:val="left"/>
      <w:pPr>
        <w:ind w:left="4320" w:hanging="360"/>
      </w:pPr>
      <w:rPr>
        <w:rFonts w:ascii="Wingdings" w:hAnsi="Wingdings" w:hint="default"/>
      </w:rPr>
    </w:lvl>
    <w:lvl w:ilvl="6" w:tplc="2A86C736">
      <w:start w:val="1"/>
      <w:numFmt w:val="bullet"/>
      <w:lvlText w:val=""/>
      <w:lvlJc w:val="left"/>
      <w:pPr>
        <w:ind w:left="5040" w:hanging="360"/>
      </w:pPr>
      <w:rPr>
        <w:rFonts w:ascii="Symbol" w:hAnsi="Symbol" w:hint="default"/>
      </w:rPr>
    </w:lvl>
    <w:lvl w:ilvl="7" w:tplc="E200B938">
      <w:start w:val="1"/>
      <w:numFmt w:val="bullet"/>
      <w:lvlText w:val="o"/>
      <w:lvlJc w:val="left"/>
      <w:pPr>
        <w:ind w:left="5760" w:hanging="360"/>
      </w:pPr>
      <w:rPr>
        <w:rFonts w:ascii="Courier New" w:hAnsi="Courier New" w:hint="default"/>
      </w:rPr>
    </w:lvl>
    <w:lvl w:ilvl="8" w:tplc="4EF437C8">
      <w:start w:val="1"/>
      <w:numFmt w:val="bullet"/>
      <w:lvlText w:val=""/>
      <w:lvlJc w:val="left"/>
      <w:pPr>
        <w:ind w:left="6480" w:hanging="360"/>
      </w:pPr>
      <w:rPr>
        <w:rFonts w:ascii="Wingdings" w:hAnsi="Wingdings" w:hint="default"/>
      </w:rPr>
    </w:lvl>
  </w:abstractNum>
  <w:abstractNum w:abstractNumId="13" w15:restartNumberingAfterBreak="0">
    <w:nsid w:val="52CD4A5C"/>
    <w:multiLevelType w:val="hybridMultilevel"/>
    <w:tmpl w:val="EF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84243"/>
    <w:multiLevelType w:val="hybridMultilevel"/>
    <w:tmpl w:val="99608A0A"/>
    <w:lvl w:ilvl="0" w:tplc="4CBC2C96">
      <w:start w:val="1"/>
      <w:numFmt w:val="bullet"/>
      <w:lvlText w:val=""/>
      <w:lvlJc w:val="left"/>
      <w:pPr>
        <w:ind w:left="720" w:hanging="360"/>
      </w:pPr>
      <w:rPr>
        <w:rFonts w:ascii="Symbol" w:hAnsi="Symbol" w:hint="default"/>
      </w:rPr>
    </w:lvl>
    <w:lvl w:ilvl="1" w:tplc="CE924E1E">
      <w:start w:val="1"/>
      <w:numFmt w:val="bullet"/>
      <w:lvlText w:val="o"/>
      <w:lvlJc w:val="left"/>
      <w:pPr>
        <w:ind w:left="1440" w:hanging="360"/>
      </w:pPr>
      <w:rPr>
        <w:rFonts w:ascii="Courier New" w:hAnsi="Courier New" w:hint="default"/>
      </w:rPr>
    </w:lvl>
    <w:lvl w:ilvl="2" w:tplc="6742D25E">
      <w:start w:val="1"/>
      <w:numFmt w:val="bullet"/>
      <w:lvlText w:val=""/>
      <w:lvlJc w:val="left"/>
      <w:pPr>
        <w:ind w:left="2160" w:hanging="360"/>
      </w:pPr>
      <w:rPr>
        <w:rFonts w:ascii="Wingdings" w:hAnsi="Wingdings" w:hint="default"/>
      </w:rPr>
    </w:lvl>
    <w:lvl w:ilvl="3" w:tplc="070E17D6">
      <w:start w:val="1"/>
      <w:numFmt w:val="bullet"/>
      <w:lvlText w:val=""/>
      <w:lvlJc w:val="left"/>
      <w:pPr>
        <w:ind w:left="2880" w:hanging="360"/>
      </w:pPr>
      <w:rPr>
        <w:rFonts w:ascii="Symbol" w:hAnsi="Symbol" w:hint="default"/>
      </w:rPr>
    </w:lvl>
    <w:lvl w:ilvl="4" w:tplc="B28AE8CE">
      <w:start w:val="1"/>
      <w:numFmt w:val="bullet"/>
      <w:lvlText w:val="o"/>
      <w:lvlJc w:val="left"/>
      <w:pPr>
        <w:ind w:left="3600" w:hanging="360"/>
      </w:pPr>
      <w:rPr>
        <w:rFonts w:ascii="Courier New" w:hAnsi="Courier New" w:hint="default"/>
      </w:rPr>
    </w:lvl>
    <w:lvl w:ilvl="5" w:tplc="CA50F058">
      <w:start w:val="1"/>
      <w:numFmt w:val="bullet"/>
      <w:lvlText w:val=""/>
      <w:lvlJc w:val="left"/>
      <w:pPr>
        <w:ind w:left="4320" w:hanging="360"/>
      </w:pPr>
      <w:rPr>
        <w:rFonts w:ascii="Wingdings" w:hAnsi="Wingdings" w:hint="default"/>
      </w:rPr>
    </w:lvl>
    <w:lvl w:ilvl="6" w:tplc="1C8A3654">
      <w:start w:val="1"/>
      <w:numFmt w:val="bullet"/>
      <w:lvlText w:val=""/>
      <w:lvlJc w:val="left"/>
      <w:pPr>
        <w:ind w:left="5040" w:hanging="360"/>
      </w:pPr>
      <w:rPr>
        <w:rFonts w:ascii="Symbol" w:hAnsi="Symbol" w:hint="default"/>
      </w:rPr>
    </w:lvl>
    <w:lvl w:ilvl="7" w:tplc="94D08286">
      <w:start w:val="1"/>
      <w:numFmt w:val="bullet"/>
      <w:lvlText w:val="o"/>
      <w:lvlJc w:val="left"/>
      <w:pPr>
        <w:ind w:left="5760" w:hanging="360"/>
      </w:pPr>
      <w:rPr>
        <w:rFonts w:ascii="Courier New" w:hAnsi="Courier New" w:hint="default"/>
      </w:rPr>
    </w:lvl>
    <w:lvl w:ilvl="8" w:tplc="AED6B656">
      <w:start w:val="1"/>
      <w:numFmt w:val="bullet"/>
      <w:lvlText w:val=""/>
      <w:lvlJc w:val="left"/>
      <w:pPr>
        <w:ind w:left="6480" w:hanging="360"/>
      </w:pPr>
      <w:rPr>
        <w:rFonts w:ascii="Wingdings" w:hAnsi="Wingdings" w:hint="default"/>
      </w:rPr>
    </w:lvl>
  </w:abstractNum>
  <w:abstractNum w:abstractNumId="15" w15:restartNumberingAfterBreak="0">
    <w:nsid w:val="60DF149B"/>
    <w:multiLevelType w:val="hybridMultilevel"/>
    <w:tmpl w:val="823E0E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85A1CEC"/>
    <w:multiLevelType w:val="hybridMultilevel"/>
    <w:tmpl w:val="6506EE76"/>
    <w:lvl w:ilvl="0" w:tplc="D53C0C98">
      <w:start w:val="1"/>
      <w:numFmt w:val="bullet"/>
      <w:lvlText w:val=""/>
      <w:lvlJc w:val="left"/>
      <w:pPr>
        <w:ind w:left="720" w:hanging="360"/>
      </w:pPr>
      <w:rPr>
        <w:rFonts w:ascii="Symbol" w:hAnsi="Symbol" w:hint="default"/>
      </w:rPr>
    </w:lvl>
    <w:lvl w:ilvl="1" w:tplc="907C6002">
      <w:start w:val="1"/>
      <w:numFmt w:val="bullet"/>
      <w:lvlText w:val="o"/>
      <w:lvlJc w:val="left"/>
      <w:pPr>
        <w:ind w:left="1440" w:hanging="360"/>
      </w:pPr>
      <w:rPr>
        <w:rFonts w:ascii="Courier New" w:hAnsi="Courier New" w:hint="default"/>
      </w:rPr>
    </w:lvl>
    <w:lvl w:ilvl="2" w:tplc="AA9E0B28">
      <w:start w:val="1"/>
      <w:numFmt w:val="bullet"/>
      <w:lvlText w:val=""/>
      <w:lvlJc w:val="left"/>
      <w:pPr>
        <w:ind w:left="2160" w:hanging="360"/>
      </w:pPr>
      <w:rPr>
        <w:rFonts w:ascii="Wingdings" w:hAnsi="Wingdings" w:hint="default"/>
      </w:rPr>
    </w:lvl>
    <w:lvl w:ilvl="3" w:tplc="82A6AB40">
      <w:start w:val="1"/>
      <w:numFmt w:val="bullet"/>
      <w:lvlText w:val=""/>
      <w:lvlJc w:val="left"/>
      <w:pPr>
        <w:ind w:left="2880" w:hanging="360"/>
      </w:pPr>
      <w:rPr>
        <w:rFonts w:ascii="Symbol" w:hAnsi="Symbol" w:hint="default"/>
      </w:rPr>
    </w:lvl>
    <w:lvl w:ilvl="4" w:tplc="5DB4408E">
      <w:start w:val="1"/>
      <w:numFmt w:val="bullet"/>
      <w:lvlText w:val="o"/>
      <w:lvlJc w:val="left"/>
      <w:pPr>
        <w:ind w:left="3600" w:hanging="360"/>
      </w:pPr>
      <w:rPr>
        <w:rFonts w:ascii="Courier New" w:hAnsi="Courier New" w:hint="default"/>
      </w:rPr>
    </w:lvl>
    <w:lvl w:ilvl="5" w:tplc="02C833C4">
      <w:start w:val="1"/>
      <w:numFmt w:val="bullet"/>
      <w:lvlText w:val=""/>
      <w:lvlJc w:val="left"/>
      <w:pPr>
        <w:ind w:left="4320" w:hanging="360"/>
      </w:pPr>
      <w:rPr>
        <w:rFonts w:ascii="Wingdings" w:hAnsi="Wingdings" w:hint="default"/>
      </w:rPr>
    </w:lvl>
    <w:lvl w:ilvl="6" w:tplc="36FE2FAA">
      <w:start w:val="1"/>
      <w:numFmt w:val="bullet"/>
      <w:lvlText w:val=""/>
      <w:lvlJc w:val="left"/>
      <w:pPr>
        <w:ind w:left="5040" w:hanging="360"/>
      </w:pPr>
      <w:rPr>
        <w:rFonts w:ascii="Symbol" w:hAnsi="Symbol" w:hint="default"/>
      </w:rPr>
    </w:lvl>
    <w:lvl w:ilvl="7" w:tplc="033C4F86">
      <w:start w:val="1"/>
      <w:numFmt w:val="bullet"/>
      <w:lvlText w:val="o"/>
      <w:lvlJc w:val="left"/>
      <w:pPr>
        <w:ind w:left="5760" w:hanging="360"/>
      </w:pPr>
      <w:rPr>
        <w:rFonts w:ascii="Courier New" w:hAnsi="Courier New" w:hint="default"/>
      </w:rPr>
    </w:lvl>
    <w:lvl w:ilvl="8" w:tplc="4A1A30E4">
      <w:start w:val="1"/>
      <w:numFmt w:val="bullet"/>
      <w:lvlText w:val=""/>
      <w:lvlJc w:val="left"/>
      <w:pPr>
        <w:ind w:left="6480" w:hanging="360"/>
      </w:pPr>
      <w:rPr>
        <w:rFonts w:ascii="Wingdings" w:hAnsi="Wingdings" w:hint="default"/>
      </w:rPr>
    </w:lvl>
  </w:abstractNum>
  <w:abstractNum w:abstractNumId="17" w15:restartNumberingAfterBreak="0">
    <w:nsid w:val="6898631A"/>
    <w:multiLevelType w:val="hybridMultilevel"/>
    <w:tmpl w:val="2E18D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C11BD0"/>
    <w:multiLevelType w:val="hybridMultilevel"/>
    <w:tmpl w:val="DA08E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9044E00"/>
    <w:multiLevelType w:val="multilevel"/>
    <w:tmpl w:val="3042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6033837">
    <w:abstractNumId w:val="1"/>
  </w:num>
  <w:num w:numId="2" w16cid:durableId="1471096731">
    <w:abstractNumId w:val="16"/>
  </w:num>
  <w:num w:numId="3" w16cid:durableId="1826823782">
    <w:abstractNumId w:val="3"/>
  </w:num>
  <w:num w:numId="4" w16cid:durableId="248740234">
    <w:abstractNumId w:val="12"/>
  </w:num>
  <w:num w:numId="5" w16cid:durableId="1052460569">
    <w:abstractNumId w:val="7"/>
  </w:num>
  <w:num w:numId="6" w16cid:durableId="1561281957">
    <w:abstractNumId w:val="14"/>
  </w:num>
  <w:num w:numId="7" w16cid:durableId="1632831260">
    <w:abstractNumId w:val="5"/>
  </w:num>
  <w:num w:numId="8" w16cid:durableId="2131429996">
    <w:abstractNumId w:val="9"/>
  </w:num>
  <w:num w:numId="9" w16cid:durableId="59402922">
    <w:abstractNumId w:val="2"/>
  </w:num>
  <w:num w:numId="10" w16cid:durableId="568272038">
    <w:abstractNumId w:val="6"/>
  </w:num>
  <w:num w:numId="11" w16cid:durableId="144593570">
    <w:abstractNumId w:val="10"/>
  </w:num>
  <w:num w:numId="12" w16cid:durableId="160583877">
    <w:abstractNumId w:val="18"/>
  </w:num>
  <w:num w:numId="13" w16cid:durableId="1228419024">
    <w:abstractNumId w:val="0"/>
  </w:num>
  <w:num w:numId="14" w16cid:durableId="1206285992">
    <w:abstractNumId w:val="15"/>
  </w:num>
  <w:num w:numId="15" w16cid:durableId="367143045">
    <w:abstractNumId w:val="17"/>
  </w:num>
  <w:num w:numId="16" w16cid:durableId="1287589604">
    <w:abstractNumId w:val="8"/>
  </w:num>
  <w:num w:numId="17" w16cid:durableId="1575117725">
    <w:abstractNumId w:val="11"/>
  </w:num>
  <w:num w:numId="18" w16cid:durableId="1383169213">
    <w:abstractNumId w:val="4"/>
  </w:num>
  <w:num w:numId="19" w16cid:durableId="87043793">
    <w:abstractNumId w:val="19"/>
  </w:num>
  <w:num w:numId="20" w16cid:durableId="235558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AF"/>
    <w:rsid w:val="00033B27"/>
    <w:rsid w:val="00043D87"/>
    <w:rsid w:val="000570F4"/>
    <w:rsid w:val="00094ACB"/>
    <w:rsid w:val="000B198A"/>
    <w:rsid w:val="000B62BC"/>
    <w:rsid w:val="000C3419"/>
    <w:rsid w:val="000D2129"/>
    <w:rsid w:val="000F3CE6"/>
    <w:rsid w:val="000F4311"/>
    <w:rsid w:val="00122AAF"/>
    <w:rsid w:val="00134FB0"/>
    <w:rsid w:val="0015215E"/>
    <w:rsid w:val="00160DC8"/>
    <w:rsid w:val="00180285"/>
    <w:rsid w:val="0020336D"/>
    <w:rsid w:val="00232410"/>
    <w:rsid w:val="00253214"/>
    <w:rsid w:val="00254A71"/>
    <w:rsid w:val="00254F66"/>
    <w:rsid w:val="002748FD"/>
    <w:rsid w:val="00294EE5"/>
    <w:rsid w:val="002965F4"/>
    <w:rsid w:val="002D5638"/>
    <w:rsid w:val="00342C2F"/>
    <w:rsid w:val="00346689"/>
    <w:rsid w:val="00352008"/>
    <w:rsid w:val="0037588D"/>
    <w:rsid w:val="00390C93"/>
    <w:rsid w:val="003B4EFA"/>
    <w:rsid w:val="003C3600"/>
    <w:rsid w:val="003D40CB"/>
    <w:rsid w:val="003D7664"/>
    <w:rsid w:val="003F2A45"/>
    <w:rsid w:val="00402478"/>
    <w:rsid w:val="00404F1C"/>
    <w:rsid w:val="00410419"/>
    <w:rsid w:val="00410DE6"/>
    <w:rsid w:val="00412E0C"/>
    <w:rsid w:val="00414D13"/>
    <w:rsid w:val="00457CC2"/>
    <w:rsid w:val="00466681"/>
    <w:rsid w:val="00466E0F"/>
    <w:rsid w:val="00484421"/>
    <w:rsid w:val="004E368A"/>
    <w:rsid w:val="004E4A34"/>
    <w:rsid w:val="00513557"/>
    <w:rsid w:val="00580BAD"/>
    <w:rsid w:val="00597305"/>
    <w:rsid w:val="005E3057"/>
    <w:rsid w:val="006018D6"/>
    <w:rsid w:val="00650065"/>
    <w:rsid w:val="00656F3A"/>
    <w:rsid w:val="006615DC"/>
    <w:rsid w:val="00672202"/>
    <w:rsid w:val="006772D0"/>
    <w:rsid w:val="006A6EAB"/>
    <w:rsid w:val="006C23AA"/>
    <w:rsid w:val="006D2106"/>
    <w:rsid w:val="006E48BE"/>
    <w:rsid w:val="006E6505"/>
    <w:rsid w:val="006F43EA"/>
    <w:rsid w:val="00705EE1"/>
    <w:rsid w:val="00763AEC"/>
    <w:rsid w:val="00766199"/>
    <w:rsid w:val="007A391C"/>
    <w:rsid w:val="007A3E85"/>
    <w:rsid w:val="007B746A"/>
    <w:rsid w:val="007C31A5"/>
    <w:rsid w:val="007D2CF1"/>
    <w:rsid w:val="007D3234"/>
    <w:rsid w:val="007D4300"/>
    <w:rsid w:val="007D6E2C"/>
    <w:rsid w:val="007F1CF5"/>
    <w:rsid w:val="008027AE"/>
    <w:rsid w:val="008405A1"/>
    <w:rsid w:val="0086665C"/>
    <w:rsid w:val="008C159B"/>
    <w:rsid w:val="008F1F6D"/>
    <w:rsid w:val="008F7079"/>
    <w:rsid w:val="00906956"/>
    <w:rsid w:val="00916B1D"/>
    <w:rsid w:val="00916E75"/>
    <w:rsid w:val="0095312E"/>
    <w:rsid w:val="00956B03"/>
    <w:rsid w:val="00980D7C"/>
    <w:rsid w:val="00981759"/>
    <w:rsid w:val="009D011C"/>
    <w:rsid w:val="009D3B81"/>
    <w:rsid w:val="009E3DD3"/>
    <w:rsid w:val="009E708B"/>
    <w:rsid w:val="00A32CDF"/>
    <w:rsid w:val="00A54A99"/>
    <w:rsid w:val="00A74B20"/>
    <w:rsid w:val="00A83AC0"/>
    <w:rsid w:val="00A87D7E"/>
    <w:rsid w:val="00A946FA"/>
    <w:rsid w:val="00A97230"/>
    <w:rsid w:val="00AA78AB"/>
    <w:rsid w:val="00AA78C0"/>
    <w:rsid w:val="00AC00D6"/>
    <w:rsid w:val="00AC4D99"/>
    <w:rsid w:val="00AF19E8"/>
    <w:rsid w:val="00AF6E4A"/>
    <w:rsid w:val="00B02D9E"/>
    <w:rsid w:val="00B12A99"/>
    <w:rsid w:val="00B26C44"/>
    <w:rsid w:val="00B44511"/>
    <w:rsid w:val="00B6071D"/>
    <w:rsid w:val="00B62401"/>
    <w:rsid w:val="00B73355"/>
    <w:rsid w:val="00B77BF4"/>
    <w:rsid w:val="00B9018C"/>
    <w:rsid w:val="00B90F82"/>
    <w:rsid w:val="00B93BEA"/>
    <w:rsid w:val="00BD274E"/>
    <w:rsid w:val="00BD44BF"/>
    <w:rsid w:val="00C4375C"/>
    <w:rsid w:val="00C47FB4"/>
    <w:rsid w:val="00C67EBF"/>
    <w:rsid w:val="00C7065E"/>
    <w:rsid w:val="00C70F08"/>
    <w:rsid w:val="00CA4A0A"/>
    <w:rsid w:val="00CD14E1"/>
    <w:rsid w:val="00CD2E38"/>
    <w:rsid w:val="00CE612B"/>
    <w:rsid w:val="00CF3E30"/>
    <w:rsid w:val="00D01A5A"/>
    <w:rsid w:val="00D027FB"/>
    <w:rsid w:val="00D20A8B"/>
    <w:rsid w:val="00D2216D"/>
    <w:rsid w:val="00D313DC"/>
    <w:rsid w:val="00D45814"/>
    <w:rsid w:val="00D81907"/>
    <w:rsid w:val="00D95A83"/>
    <w:rsid w:val="00DA065E"/>
    <w:rsid w:val="00DA64D2"/>
    <w:rsid w:val="00DA79F7"/>
    <w:rsid w:val="00DB1C53"/>
    <w:rsid w:val="00DB6F51"/>
    <w:rsid w:val="00DC772C"/>
    <w:rsid w:val="00E036C3"/>
    <w:rsid w:val="00E46C8C"/>
    <w:rsid w:val="00E62AFD"/>
    <w:rsid w:val="00E822E1"/>
    <w:rsid w:val="00E970DE"/>
    <w:rsid w:val="00EC43F9"/>
    <w:rsid w:val="00EE9A34"/>
    <w:rsid w:val="00F52D63"/>
    <w:rsid w:val="00FA1A1A"/>
    <w:rsid w:val="00FB0138"/>
    <w:rsid w:val="00FB1EDA"/>
    <w:rsid w:val="00FB7986"/>
    <w:rsid w:val="00FE6265"/>
    <w:rsid w:val="00FF5BA7"/>
    <w:rsid w:val="00FF6028"/>
    <w:rsid w:val="077F961D"/>
    <w:rsid w:val="158DD7C6"/>
    <w:rsid w:val="2D8C9460"/>
    <w:rsid w:val="3120A19E"/>
    <w:rsid w:val="361D6461"/>
    <w:rsid w:val="3B699DE7"/>
    <w:rsid w:val="44122FE4"/>
    <w:rsid w:val="450C5EE5"/>
    <w:rsid w:val="456B10EA"/>
    <w:rsid w:val="487E6D00"/>
    <w:rsid w:val="50252242"/>
    <w:rsid w:val="525A03D0"/>
    <w:rsid w:val="52EA7091"/>
    <w:rsid w:val="540B198C"/>
    <w:rsid w:val="542EB95A"/>
    <w:rsid w:val="57B6EB10"/>
    <w:rsid w:val="676E5498"/>
    <w:rsid w:val="683D7024"/>
    <w:rsid w:val="6C1E1576"/>
    <w:rsid w:val="79309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8861"/>
  <w15:docId w15:val="{ADF94D94-B99C-47EC-A22D-31BDDFA9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79"/>
  </w:style>
  <w:style w:type="paragraph" w:styleId="Heading1">
    <w:name w:val="heading 1"/>
    <w:basedOn w:val="Normal"/>
    <w:next w:val="Normal"/>
    <w:link w:val="Heading1Char"/>
    <w:uiPriority w:val="9"/>
    <w:qFormat/>
    <w:rsid w:val="008F707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F7079"/>
    <w:pPr>
      <w:keepNext/>
      <w:keepLines/>
      <w:spacing w:before="40" w:after="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484421"/>
    <w:pPr>
      <w:keepNext/>
      <w:keepLines/>
      <w:spacing w:before="40" w:after="0"/>
      <w:outlineLvl w:val="2"/>
    </w:pPr>
    <w:rPr>
      <w:rFonts w:asciiTheme="majorHAnsi"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AF"/>
    <w:rPr>
      <w:color w:val="0000FF" w:themeColor="hyperlink"/>
      <w:u w:val="single"/>
    </w:rPr>
  </w:style>
  <w:style w:type="paragraph" w:styleId="ListParagraph">
    <w:name w:val="List Paragraph"/>
    <w:basedOn w:val="Normal"/>
    <w:uiPriority w:val="34"/>
    <w:qFormat/>
    <w:rsid w:val="00D2216D"/>
    <w:pPr>
      <w:ind w:left="720"/>
      <w:contextualSpacing/>
    </w:pPr>
  </w:style>
  <w:style w:type="paragraph" w:styleId="Header">
    <w:name w:val="header"/>
    <w:basedOn w:val="Normal"/>
    <w:link w:val="HeaderChar"/>
    <w:uiPriority w:val="99"/>
    <w:unhideWhenUsed/>
    <w:rsid w:val="00346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89"/>
  </w:style>
  <w:style w:type="paragraph" w:styleId="Footer">
    <w:name w:val="footer"/>
    <w:basedOn w:val="Normal"/>
    <w:link w:val="FooterChar"/>
    <w:uiPriority w:val="99"/>
    <w:unhideWhenUsed/>
    <w:rsid w:val="00346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89"/>
  </w:style>
  <w:style w:type="table" w:styleId="TableGrid">
    <w:name w:val="Table Grid"/>
    <w:basedOn w:val="TableNormal"/>
    <w:uiPriority w:val="59"/>
    <w:rsid w:val="00C4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312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E6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26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2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44"/>
    <w:rPr>
      <w:rFonts w:ascii="Segoe UI" w:hAnsi="Segoe UI" w:cs="Segoe UI"/>
      <w:sz w:val="18"/>
      <w:szCs w:val="18"/>
    </w:rPr>
  </w:style>
  <w:style w:type="character" w:styleId="CommentReference">
    <w:name w:val="annotation reference"/>
    <w:basedOn w:val="DefaultParagraphFont"/>
    <w:uiPriority w:val="99"/>
    <w:semiHidden/>
    <w:unhideWhenUsed/>
    <w:rsid w:val="00E62AFD"/>
    <w:rPr>
      <w:sz w:val="16"/>
      <w:szCs w:val="16"/>
    </w:rPr>
  </w:style>
  <w:style w:type="paragraph" w:styleId="CommentText">
    <w:name w:val="annotation text"/>
    <w:basedOn w:val="Normal"/>
    <w:link w:val="CommentTextChar"/>
    <w:uiPriority w:val="99"/>
    <w:semiHidden/>
    <w:unhideWhenUsed/>
    <w:rsid w:val="00E62AFD"/>
    <w:pPr>
      <w:spacing w:line="240" w:lineRule="auto"/>
    </w:pPr>
    <w:rPr>
      <w:sz w:val="20"/>
      <w:szCs w:val="20"/>
    </w:rPr>
  </w:style>
  <w:style w:type="character" w:customStyle="1" w:styleId="CommentTextChar">
    <w:name w:val="Comment Text Char"/>
    <w:basedOn w:val="DefaultParagraphFont"/>
    <w:link w:val="CommentText"/>
    <w:uiPriority w:val="99"/>
    <w:semiHidden/>
    <w:rsid w:val="00E62AFD"/>
    <w:rPr>
      <w:sz w:val="20"/>
      <w:szCs w:val="20"/>
    </w:rPr>
  </w:style>
  <w:style w:type="paragraph" w:styleId="CommentSubject">
    <w:name w:val="annotation subject"/>
    <w:basedOn w:val="CommentText"/>
    <w:next w:val="CommentText"/>
    <w:link w:val="CommentSubjectChar"/>
    <w:uiPriority w:val="99"/>
    <w:semiHidden/>
    <w:unhideWhenUsed/>
    <w:rsid w:val="00E62AFD"/>
    <w:rPr>
      <w:b/>
      <w:bCs/>
    </w:rPr>
  </w:style>
  <w:style w:type="character" w:customStyle="1" w:styleId="CommentSubjectChar">
    <w:name w:val="Comment Subject Char"/>
    <w:basedOn w:val="CommentTextChar"/>
    <w:link w:val="CommentSubject"/>
    <w:uiPriority w:val="99"/>
    <w:semiHidden/>
    <w:rsid w:val="00E62AFD"/>
    <w:rPr>
      <w:b/>
      <w:bCs/>
      <w:sz w:val="20"/>
      <w:szCs w:val="20"/>
    </w:rPr>
  </w:style>
  <w:style w:type="paragraph" w:styleId="NoSpacing">
    <w:name w:val="No Spacing"/>
    <w:uiPriority w:val="1"/>
    <w:qFormat/>
    <w:rsid w:val="00B77BF4"/>
    <w:pPr>
      <w:spacing w:after="0" w:line="240" w:lineRule="auto"/>
    </w:pPr>
    <w:rPr>
      <w:rFonts w:eastAsiaTheme="minorHAnsi"/>
    </w:rPr>
  </w:style>
  <w:style w:type="character" w:styleId="UnresolvedMention">
    <w:name w:val="Unresolved Mention"/>
    <w:basedOn w:val="DefaultParagraphFont"/>
    <w:uiPriority w:val="99"/>
    <w:semiHidden/>
    <w:unhideWhenUsed/>
    <w:rsid w:val="00B77BF4"/>
    <w:rPr>
      <w:color w:val="605E5C"/>
      <w:shd w:val="clear" w:color="auto" w:fill="E1DFDD"/>
    </w:rPr>
  </w:style>
  <w:style w:type="character" w:styleId="FollowedHyperlink">
    <w:name w:val="FollowedHyperlink"/>
    <w:basedOn w:val="DefaultParagraphFont"/>
    <w:uiPriority w:val="99"/>
    <w:semiHidden/>
    <w:unhideWhenUsed/>
    <w:rsid w:val="007D4300"/>
    <w:rPr>
      <w:color w:val="800080" w:themeColor="followedHyperlink"/>
      <w:u w:val="single"/>
    </w:rPr>
  </w:style>
  <w:style w:type="character" w:customStyle="1" w:styleId="Heading1Char">
    <w:name w:val="Heading 1 Char"/>
    <w:basedOn w:val="DefaultParagraphFont"/>
    <w:link w:val="Heading1"/>
    <w:uiPriority w:val="9"/>
    <w:rsid w:val="008F707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F7079"/>
    <w:rPr>
      <w:rFonts w:asciiTheme="majorHAnsi" w:eastAsiaTheme="majorEastAsia" w:hAnsiTheme="majorHAnsi" w:cstheme="majorBidi"/>
      <w:sz w:val="28"/>
      <w:szCs w:val="28"/>
    </w:rPr>
  </w:style>
  <w:style w:type="character" w:customStyle="1" w:styleId="normaltextrun">
    <w:name w:val="normaltextrun"/>
    <w:basedOn w:val="DefaultParagraphFont"/>
    <w:rsid w:val="00766199"/>
  </w:style>
  <w:style w:type="character" w:customStyle="1" w:styleId="Heading3Char">
    <w:name w:val="Heading 3 Char"/>
    <w:basedOn w:val="DefaultParagraphFont"/>
    <w:link w:val="Heading3"/>
    <w:uiPriority w:val="9"/>
    <w:rsid w:val="00484421"/>
    <w:rPr>
      <w:rFonts w:asciiTheme="majorHAnsi" w:hAnsiTheme="majorHAnsi" w:cstheme="majorBidi"/>
      <w:sz w:val="24"/>
      <w:szCs w:val="24"/>
    </w:rPr>
  </w:style>
  <w:style w:type="paragraph" w:styleId="Revision">
    <w:name w:val="Revision"/>
    <w:hidden/>
    <w:uiPriority w:val="99"/>
    <w:semiHidden/>
    <w:rsid w:val="000570F4"/>
    <w:pPr>
      <w:spacing w:after="0" w:line="240" w:lineRule="auto"/>
    </w:pPr>
  </w:style>
  <w:style w:type="paragraph" w:styleId="NormalWeb">
    <w:name w:val="Normal (Web)"/>
    <w:basedOn w:val="Normal"/>
    <w:uiPriority w:val="99"/>
    <w:semiHidden/>
    <w:unhideWhenUsed/>
    <w:rsid w:val="007B746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wisc.edu/ohr/policies/page.php?id=53238" TargetMode="External"/><Relationship Id="rId13" Type="http://schemas.openxmlformats.org/officeDocument/2006/relationships/hyperlink" Target="https://hr.wisc.edu/forms/" TargetMode="External"/><Relationship Id="rId18" Type="http://schemas.openxmlformats.org/officeDocument/2006/relationships/hyperlink" Target="https://etf.wi.gov/publications/et2319/download?inli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nefits@ohr.wisc.edu" TargetMode="External"/><Relationship Id="rId17" Type="http://schemas.openxmlformats.org/officeDocument/2006/relationships/hyperlink" Target="https://etf.wi.gov/publications/et4105/direct" TargetMode="External"/><Relationship Id="rId2" Type="http://schemas.openxmlformats.org/officeDocument/2006/relationships/numbering" Target="numbering.xml"/><Relationship Id="rId16" Type="http://schemas.openxmlformats.org/officeDocument/2006/relationships/hyperlink" Target="https://docs.legis.wisconsin.gov/code/admin_code/etf/10/08" TargetMode="External"/><Relationship Id="rId20" Type="http://schemas.openxmlformats.org/officeDocument/2006/relationships/hyperlink" Target="mailto:benefits@ohr.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f.wi.gov/resource/rehired-annuitant" TargetMode="External"/><Relationship Id="rId5" Type="http://schemas.openxmlformats.org/officeDocument/2006/relationships/webSettings" Target="webSettings.xml"/><Relationship Id="rId15" Type="http://schemas.openxmlformats.org/officeDocument/2006/relationships/hyperlink" Target="http://docs.legis.wisconsin.gov/statutes/statutes/40/II/26" TargetMode="External"/><Relationship Id="rId23" Type="http://schemas.openxmlformats.org/officeDocument/2006/relationships/theme" Target="theme/theme1.xml"/><Relationship Id="rId10" Type="http://schemas.openxmlformats.org/officeDocument/2006/relationships/hyperlink" Target="https://hr.wisc.edu/hr-professionals/recruitment/" TargetMode="External"/><Relationship Id="rId19" Type="http://schemas.openxmlformats.org/officeDocument/2006/relationships/hyperlink" Target="https://hr.wisc.edu/benefits/leave/paid-leave/" TargetMode="External"/><Relationship Id="rId4" Type="http://schemas.openxmlformats.org/officeDocument/2006/relationships/settings" Target="settings.xml"/><Relationship Id="rId9" Type="http://schemas.openxmlformats.org/officeDocument/2006/relationships/hyperlink" Target="https://hr.wisc.edu/docs/recruitment/recruitment-waiver-reasons.pdf" TargetMode="External"/><Relationship Id="rId14" Type="http://schemas.openxmlformats.org/officeDocument/2006/relationships/hyperlink" Target="http://docs.legis.wisconsin.gov/statutes/statutes/40/II/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0827-B342-473F-8082-12D446B9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9411</Characters>
  <Application>Microsoft Office Word</Application>
  <DocSecurity>0</DocSecurity>
  <Lines>78</Lines>
  <Paragraphs>22</Paragraphs>
  <ScaleCrop>false</ScaleCrop>
  <Company>University of Wisconsin</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 Human Resources</dc:creator>
  <cp:lastModifiedBy>TONI LEE L THELLEFSEN</cp:lastModifiedBy>
  <cp:revision>2</cp:revision>
  <cp:lastPrinted>2014-05-27T19:42:00Z</cp:lastPrinted>
  <dcterms:created xsi:type="dcterms:W3CDTF">2023-04-28T19:14:00Z</dcterms:created>
  <dcterms:modified xsi:type="dcterms:W3CDTF">2023-04-28T19:14:00Z</dcterms:modified>
</cp:coreProperties>
</file>